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0E93C">
      <w:pPr>
        <w:pStyle w:val="8"/>
        <w:jc w:val="right"/>
        <w:rPr>
          <w:rFonts w:hint="default" w:ascii="Times New Roman" w:hAnsi="Times New Roman" w:cs="Times New Roman"/>
          <w:sz w:val="22"/>
          <w:szCs w:val="22"/>
        </w:rPr>
      </w:pPr>
      <w:r>
        <w:rPr>
          <w:rFonts w:hint="default" w:ascii="Times New Roman" w:hAnsi="Times New Roman" w:cs="Times New Roman"/>
          <w:sz w:val="22"/>
          <w:szCs w:val="22"/>
        </w:rPr>
        <w:t xml:space="preserve">Pogorzela, dnia </w:t>
      </w:r>
      <w:r>
        <w:rPr>
          <w:rFonts w:hint="default" w:ascii="Times New Roman" w:hAnsi="Times New Roman" w:cs="Times New Roman"/>
          <w:sz w:val="22"/>
          <w:szCs w:val="22"/>
          <w:lang w:val="pl-PL"/>
        </w:rPr>
        <w:t>15</w:t>
      </w:r>
      <w:r>
        <w:rPr>
          <w:rFonts w:hint="default" w:ascii="Times New Roman" w:hAnsi="Times New Roman" w:cs="Times New Roman"/>
          <w:sz w:val="22"/>
          <w:szCs w:val="22"/>
        </w:rPr>
        <w:t>.</w:t>
      </w:r>
      <w:r>
        <w:rPr>
          <w:rFonts w:hint="default" w:ascii="Times New Roman" w:hAnsi="Times New Roman" w:cs="Times New Roman"/>
          <w:sz w:val="22"/>
          <w:szCs w:val="22"/>
          <w:lang w:val="pl-PL"/>
        </w:rPr>
        <w:t>10</w:t>
      </w:r>
      <w:r>
        <w:rPr>
          <w:rFonts w:hint="default" w:ascii="Times New Roman" w:hAnsi="Times New Roman" w:cs="Times New Roman"/>
          <w:sz w:val="22"/>
          <w:szCs w:val="22"/>
        </w:rPr>
        <w:t>.2024r.</w:t>
      </w:r>
    </w:p>
    <w:p w14:paraId="24B8826C">
      <w:pPr>
        <w:pStyle w:val="8"/>
        <w:rPr>
          <w:rFonts w:hint="default" w:ascii="Times New Roman" w:hAnsi="Times New Roman" w:cs="Times New Roman"/>
          <w:sz w:val="22"/>
          <w:szCs w:val="22"/>
        </w:rPr>
      </w:pPr>
      <w:r>
        <w:rPr>
          <w:rFonts w:hint="default" w:ascii="Times New Roman" w:hAnsi="Times New Roman" w:cs="Times New Roman"/>
          <w:sz w:val="22"/>
          <w:szCs w:val="22"/>
        </w:rPr>
        <w:t>OŚ.6220.0</w:t>
      </w:r>
      <w:r>
        <w:rPr>
          <w:rFonts w:hint="default" w:ascii="Times New Roman" w:hAnsi="Times New Roman" w:cs="Times New Roman"/>
          <w:sz w:val="22"/>
          <w:szCs w:val="22"/>
          <w:lang w:val="pl-PL"/>
        </w:rPr>
        <w:t>9</w:t>
      </w:r>
      <w:r>
        <w:rPr>
          <w:rFonts w:hint="default" w:ascii="Times New Roman" w:hAnsi="Times New Roman" w:cs="Times New Roman"/>
          <w:sz w:val="22"/>
          <w:szCs w:val="22"/>
        </w:rPr>
        <w:t>.4.2024</w:t>
      </w:r>
    </w:p>
    <w:p w14:paraId="60DA0AD7">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DECYZJA</w:t>
      </w:r>
    </w:p>
    <w:p w14:paraId="15719933">
      <w:pPr>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O ŚRODOWISKOWYCH UWARUNKOWANIACH ZGODY NA REALIZACJĘ </w:t>
      </w:r>
      <w:r>
        <w:rPr>
          <w:rFonts w:hint="default" w:ascii="Times New Roman" w:hAnsi="Times New Roman" w:cs="Times New Roman"/>
          <w:b/>
          <w:sz w:val="22"/>
          <w:szCs w:val="22"/>
          <w:lang w:val="pl-PL"/>
        </w:rPr>
        <w:t>PRZEDSIĘWZIĘCIA</w:t>
      </w:r>
      <w:r>
        <w:rPr>
          <w:rFonts w:hint="default" w:ascii="Times New Roman" w:hAnsi="Times New Roman" w:cs="Times New Roman"/>
          <w:b/>
          <w:sz w:val="22"/>
          <w:szCs w:val="22"/>
        </w:rPr>
        <w:t xml:space="preserve"> </w:t>
      </w:r>
    </w:p>
    <w:p w14:paraId="50ABFEFB">
      <w:pPr>
        <w:rPr>
          <w:rFonts w:hint="default" w:ascii="Times New Roman" w:hAnsi="Times New Roman" w:cs="Times New Roman"/>
          <w:sz w:val="22"/>
          <w:szCs w:val="22"/>
        </w:rPr>
      </w:pPr>
    </w:p>
    <w:p w14:paraId="7177C5E3">
      <w:pPr>
        <w:spacing w:line="240" w:lineRule="auto"/>
        <w:ind w:firstLine="708"/>
        <w:jc w:val="both"/>
        <w:rPr>
          <w:rFonts w:hint="default" w:ascii="Times New Roman" w:hAnsi="Times New Roman" w:cs="Times New Roman"/>
          <w:b/>
          <w:bCs/>
          <w:sz w:val="22"/>
          <w:szCs w:val="22"/>
        </w:rPr>
      </w:pPr>
      <w:r>
        <w:rPr>
          <w:rFonts w:hint="default" w:ascii="Times New Roman" w:hAnsi="Times New Roman" w:cs="Times New Roman"/>
          <w:sz w:val="22"/>
          <w:szCs w:val="22"/>
        </w:rPr>
        <w:t xml:space="preserve">Na </w:t>
      </w:r>
      <w:r>
        <w:rPr>
          <w:rFonts w:hint="default" w:ascii="Times New Roman" w:hAnsi="Times New Roman" w:cs="Times New Roman"/>
          <w:sz w:val="22"/>
          <w:szCs w:val="22"/>
          <w:lang w:val="pl-PL"/>
        </w:rPr>
        <w:t>podstawie art</w:t>
      </w:r>
      <w:r>
        <w:rPr>
          <w:rFonts w:hint="default" w:ascii="Times New Roman" w:hAnsi="Times New Roman" w:cs="Times New Roman"/>
          <w:sz w:val="22"/>
          <w:szCs w:val="22"/>
        </w:rPr>
        <w:t>. 71 ust. 1 i 2 pkt.2, art. 75 ust. 1 pkt 4, art. 84  i art. 85 ust.1, ust 2 i ust 3 ustawy z dnia 3 października 2008r.  o udostępnianiu informacji o środowisku i jego ochronie, udziale społeczeństwa w ochronie środowiska oraz o ocenach oddziaływania na środowisko (Dz. U. z 2024r. poz. 1112)</w:t>
      </w:r>
      <w:r>
        <w:rPr>
          <w:rFonts w:hint="default" w:ascii="Times New Roman" w:hAnsi="Times New Roman" w:cs="Times New Roman"/>
          <w:sz w:val="22"/>
          <w:szCs w:val="22"/>
          <w:lang w:val="pl-PL"/>
        </w:rPr>
        <w:t xml:space="preserve"> oraz </w:t>
      </w:r>
      <w:r>
        <w:rPr>
          <w:rFonts w:hint="default" w:ascii="Times New Roman" w:hAnsi="Times New Roman" w:cs="Times New Roman"/>
          <w:sz w:val="22"/>
          <w:szCs w:val="22"/>
        </w:rPr>
        <w:t xml:space="preserve"> art. 104, art. 49 oraz art. 127a ustawy z dnia 14 czerwca 1960r. - Kodeks postępowania administracyjnego (Dz. U. z 2024r. poz. 572),</w:t>
      </w:r>
      <w:r>
        <w:rPr>
          <w:rFonts w:hint="default" w:ascii="Times New Roman" w:hAnsi="Times New Roman" w:cs="Times New Roman"/>
          <w:sz w:val="22"/>
          <w:szCs w:val="22"/>
          <w:lang w:val="pl-PL"/>
        </w:rPr>
        <w:t xml:space="preserve"> </w:t>
      </w:r>
      <w:bookmarkStart w:id="0" w:name="_GoBack"/>
      <w:bookmarkEnd w:id="0"/>
      <w:r>
        <w:rPr>
          <w:rFonts w:hint="default" w:ascii="Times New Roman" w:hAnsi="Times New Roman" w:cs="Times New Roman"/>
          <w:sz w:val="22"/>
          <w:szCs w:val="22"/>
        </w:rPr>
        <w:t xml:space="preserve">po rozpatrzeniu wniosku z dnia </w:t>
      </w:r>
      <w:r>
        <w:rPr>
          <w:rFonts w:hint="default" w:ascii="Times New Roman" w:hAnsi="Times New Roman" w:cs="Times New Roman"/>
          <w:sz w:val="22"/>
          <w:szCs w:val="22"/>
          <w:lang w:val="pl-PL"/>
        </w:rPr>
        <w:t>31</w:t>
      </w:r>
      <w:r>
        <w:rPr>
          <w:rFonts w:hint="default" w:ascii="Times New Roman" w:hAnsi="Times New Roman" w:cs="Times New Roman"/>
          <w:sz w:val="22"/>
          <w:szCs w:val="22"/>
        </w:rPr>
        <w:t>.0</w:t>
      </w:r>
      <w:r>
        <w:rPr>
          <w:rFonts w:hint="default" w:ascii="Times New Roman" w:hAnsi="Times New Roman" w:cs="Times New Roman"/>
          <w:sz w:val="22"/>
          <w:szCs w:val="22"/>
          <w:lang w:val="pl-PL"/>
        </w:rPr>
        <w:t>7</w:t>
      </w:r>
      <w:r>
        <w:rPr>
          <w:rFonts w:hint="default" w:ascii="Times New Roman" w:hAnsi="Times New Roman" w:cs="Times New Roman"/>
          <w:sz w:val="22"/>
          <w:szCs w:val="22"/>
        </w:rPr>
        <w:t xml:space="preserve">.2024r. (data wpływu do Urzędu </w:t>
      </w:r>
      <w:r>
        <w:rPr>
          <w:rFonts w:hint="default" w:ascii="Times New Roman" w:hAnsi="Times New Roman" w:cs="Times New Roman"/>
          <w:sz w:val="22"/>
          <w:szCs w:val="22"/>
          <w:lang w:val="pl-PL"/>
        </w:rPr>
        <w:t>02</w:t>
      </w:r>
      <w:r>
        <w:rPr>
          <w:rFonts w:hint="default" w:ascii="Times New Roman" w:hAnsi="Times New Roman" w:cs="Times New Roman"/>
          <w:sz w:val="22"/>
          <w:szCs w:val="22"/>
        </w:rPr>
        <w:t>.0</w:t>
      </w:r>
      <w:r>
        <w:rPr>
          <w:rFonts w:hint="default" w:ascii="Times New Roman" w:hAnsi="Times New Roman" w:cs="Times New Roman"/>
          <w:sz w:val="22"/>
          <w:szCs w:val="22"/>
          <w:lang w:val="pl-PL"/>
        </w:rPr>
        <w:t>8</w:t>
      </w:r>
      <w:r>
        <w:rPr>
          <w:rFonts w:hint="default" w:ascii="Times New Roman" w:hAnsi="Times New Roman" w:cs="Times New Roman"/>
          <w:sz w:val="22"/>
          <w:szCs w:val="22"/>
        </w:rPr>
        <w:t>.2024r.)</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 o wydanie decyzji o środowiskowych uwarunkowaniach</w:t>
      </w:r>
      <w:r>
        <w:rPr>
          <w:rFonts w:hint="default" w:ascii="Times New Roman" w:hAnsi="Times New Roman" w:cs="Times New Roman"/>
          <w:sz w:val="22"/>
          <w:szCs w:val="22"/>
          <w:lang w:val="pl-PL"/>
        </w:rPr>
        <w:t>, Inwestor: Zeus 2 Sp. z o.o. ul. 1 Maja 39, 71-627 Szczecin, Pełnomocnik Dariusz Frej, ul. Murawa 12-18, 61-655 Poznań</w:t>
      </w:r>
      <w:r>
        <w:rPr>
          <w:rFonts w:hint="default" w:ascii="Times New Roman" w:hAnsi="Times New Roman" w:cs="Times New Roman"/>
          <w:b/>
          <w:bCs/>
          <w:sz w:val="22"/>
          <w:szCs w:val="22"/>
        </w:rPr>
        <w:t xml:space="preserve"> </w:t>
      </w:r>
    </w:p>
    <w:p w14:paraId="2C8FC538">
      <w:pPr>
        <w:spacing w:line="240" w:lineRule="auto"/>
        <w:ind w:firstLine="709"/>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Orzekam </w:t>
      </w:r>
    </w:p>
    <w:p w14:paraId="22EAD090">
      <w:pPr>
        <w:spacing w:line="240" w:lineRule="auto"/>
        <w:ind w:firstLine="708"/>
        <w:jc w:val="both"/>
        <w:rPr>
          <w:rFonts w:hint="default" w:ascii="Times New Roman" w:hAnsi="Times New Roman" w:cs="Times New Roman"/>
          <w:sz w:val="22"/>
          <w:szCs w:val="22"/>
        </w:rPr>
      </w:pPr>
      <w:r>
        <w:rPr>
          <w:rFonts w:hint="default" w:ascii="Times New Roman" w:hAnsi="Times New Roman" w:cs="Times New Roman"/>
          <w:b/>
          <w:bCs/>
          <w:sz w:val="22"/>
          <w:szCs w:val="22"/>
        </w:rPr>
        <w:t>I.</w:t>
      </w:r>
      <w:r>
        <w:rPr>
          <w:rFonts w:hint="default" w:ascii="Times New Roman" w:hAnsi="Times New Roman" w:cs="Times New Roman"/>
          <w:sz w:val="22"/>
          <w:szCs w:val="22"/>
        </w:rPr>
        <w:t xml:space="preserve">  że dla </w:t>
      </w:r>
      <w:r>
        <w:rPr>
          <w:rFonts w:hint="default" w:ascii="Times New Roman" w:hAnsi="Times New Roman" w:cs="Times New Roman"/>
          <w:sz w:val="22"/>
          <w:szCs w:val="22"/>
          <w:lang w:val="pl-PL"/>
        </w:rPr>
        <w:t>przedsięwzięcia pn</w:t>
      </w:r>
      <w:r>
        <w:rPr>
          <w:rFonts w:hint="default" w:ascii="Times New Roman" w:hAnsi="Times New Roman" w:cs="Times New Roman"/>
          <w:sz w:val="22"/>
          <w:szCs w:val="22"/>
        </w:rPr>
        <w:t xml:space="preserve">.: </w:t>
      </w:r>
      <w:r>
        <w:rPr>
          <w:rFonts w:hint="default" w:ascii="Times New Roman" w:hAnsi="Times New Roman" w:cs="Times New Roman"/>
          <w:b w:val="0"/>
          <w:bCs/>
          <w:sz w:val="22"/>
          <w:szCs w:val="22"/>
        </w:rPr>
        <w:t>Budowa zespołu elektrowni fotowoltaicznych o łącznej mocy do 6 MW wraz z niezbędną infrastrukturą techniczną z możliwością instalacji kontenerowych magazynów energii o łącznej mocy do 6 MW</w:t>
      </w:r>
      <w:r>
        <w:rPr>
          <w:rFonts w:hint="default" w:ascii="Times New Roman" w:hAnsi="Times New Roman" w:cs="Times New Roman"/>
          <w:b w:val="0"/>
          <w:bCs/>
          <w:sz w:val="22"/>
          <w:szCs w:val="22"/>
          <w:lang w:val="pl-PL"/>
        </w:rPr>
        <w:t xml:space="preserve">, </w:t>
      </w:r>
      <w:r>
        <w:rPr>
          <w:rFonts w:hint="default" w:ascii="Times New Roman" w:hAnsi="Times New Roman" w:cs="Times New Roman"/>
          <w:bCs/>
          <w:sz w:val="22"/>
          <w:szCs w:val="22"/>
        </w:rPr>
        <w:t xml:space="preserve"> planowane</w:t>
      </w:r>
      <w:r>
        <w:rPr>
          <w:rFonts w:hint="default" w:ascii="Times New Roman" w:hAnsi="Times New Roman" w:cs="Times New Roman"/>
          <w:bCs/>
          <w:sz w:val="22"/>
          <w:szCs w:val="22"/>
          <w:lang w:val="pl-PL"/>
        </w:rPr>
        <w:t xml:space="preserve">go </w:t>
      </w:r>
      <w:r>
        <w:rPr>
          <w:rFonts w:hint="default" w:ascii="Times New Roman" w:hAnsi="Times New Roman" w:cs="Times New Roman"/>
          <w:bCs/>
          <w:sz w:val="22"/>
          <w:szCs w:val="22"/>
        </w:rPr>
        <w:t xml:space="preserve">  do realizacji na dz.nr ewid. 205, 209</w:t>
      </w:r>
      <w:r>
        <w:rPr>
          <w:rFonts w:hint="default" w:ascii="Times New Roman" w:hAnsi="Times New Roman" w:cs="Times New Roman"/>
          <w:bCs/>
          <w:sz w:val="22"/>
          <w:szCs w:val="22"/>
          <w:lang w:val="pl-PL"/>
        </w:rPr>
        <w:t xml:space="preserve">                  </w:t>
      </w:r>
      <w:r>
        <w:rPr>
          <w:rFonts w:hint="default" w:ascii="Times New Roman" w:hAnsi="Times New Roman" w:cs="Times New Roman"/>
          <w:bCs/>
          <w:sz w:val="22"/>
          <w:szCs w:val="22"/>
        </w:rPr>
        <w:t xml:space="preserve"> i 221 obręb Gumienice</w:t>
      </w:r>
      <w:r>
        <w:rPr>
          <w:rFonts w:hint="default" w:ascii="Times New Roman" w:hAnsi="Times New Roman" w:cs="Times New Roman"/>
          <w:bCs/>
          <w:sz w:val="22"/>
          <w:szCs w:val="22"/>
          <w:lang w:val="pl-PL"/>
        </w:rPr>
        <w:t>,</w:t>
      </w:r>
      <w:r>
        <w:rPr>
          <w:rFonts w:hint="default" w:ascii="Times New Roman" w:hAnsi="Times New Roman" w:cs="Times New Roman"/>
          <w:sz w:val="22"/>
          <w:szCs w:val="22"/>
        </w:rPr>
        <w:t xml:space="preserve"> nie ma potrzeby przeprowadzenia oceny oddziaływania na środowisko</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 i wskazuję na konieczność uwzględnienia w decyzji o środowiskowych uwarunkowaniach następujących warunków i wymagań:</w:t>
      </w:r>
    </w:p>
    <w:p w14:paraId="6BE6ADBB">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lang w:eastAsia="zh-CN"/>
        </w:rPr>
        <w:t>Wszelkie prace związane z realizacją przedsięwzięcia oraz ruch pojazdów prowadzić wyłącznie w porze dziennej, tj. w godz. 6.00 – 22.00.</w:t>
      </w:r>
    </w:p>
    <w:p w14:paraId="106CD734">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lang w:eastAsia="zh-CN"/>
        </w:rPr>
        <w:t>Elektrownię</w:t>
      </w:r>
      <w:r>
        <w:rPr>
          <w:rFonts w:hint="default" w:ascii="Times New Roman" w:hAnsi="Times New Roman" w:eastAsia="Calibri" w:cs="Times New Roman"/>
          <w:sz w:val="22"/>
          <w:szCs w:val="22"/>
          <w:lang w:eastAsia="en-US"/>
        </w:rPr>
        <w:t xml:space="preserve"> </w:t>
      </w:r>
      <w:r>
        <w:rPr>
          <w:rFonts w:hint="default" w:ascii="Times New Roman" w:hAnsi="Times New Roman" w:cs="Times New Roman"/>
          <w:sz w:val="22"/>
          <w:szCs w:val="22"/>
          <w:lang w:eastAsia="zh-CN"/>
        </w:rPr>
        <w:t xml:space="preserve">wykonać na 2 sektorach z granicą podziału biegnącą wzdłuż rowu melioracyjnego. Ogrodzenie elektrowni montować w odległości minimum 3 m od rowu melioracyjnego. </w:t>
      </w:r>
    </w:p>
    <w:p w14:paraId="3BF09741">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rPr>
        <w:t>Wykonać</w:t>
      </w:r>
      <w:r>
        <w:rPr>
          <w:rFonts w:hint="default" w:ascii="Times New Roman" w:hAnsi="Times New Roman" w:eastAsia="Luxi Sans" w:cs="Times New Roman"/>
          <w:sz w:val="22"/>
          <w:szCs w:val="22"/>
          <w:lang w:eastAsia="en-US"/>
        </w:rPr>
        <w:t xml:space="preserve"> </w:t>
      </w:r>
      <w:r>
        <w:rPr>
          <w:rFonts w:hint="default" w:ascii="Times New Roman" w:hAnsi="Times New Roman" w:cs="Times New Roman"/>
          <w:sz w:val="22"/>
          <w:szCs w:val="22"/>
        </w:rPr>
        <w:t>ogrodzenie ażurowe bez podmurówki z pozostawieniem minimum 0,2 m przerwy między ogrodzeniem a gruntem.</w:t>
      </w:r>
    </w:p>
    <w:p w14:paraId="520AA402">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eastAsia="Luxi Sans" w:cs="Times New Roman"/>
          <w:sz w:val="22"/>
          <w:szCs w:val="22"/>
        </w:rPr>
        <w:t>Zastosować</w:t>
      </w:r>
      <w:r>
        <w:rPr>
          <w:rFonts w:hint="default" w:ascii="Times New Roman" w:hAnsi="Times New Roman" w:eastAsia="Luxi Sans" w:cs="Times New Roman"/>
          <w:sz w:val="22"/>
          <w:szCs w:val="22"/>
          <w:lang w:eastAsia="en-US"/>
        </w:rPr>
        <w:t xml:space="preserve"> </w:t>
      </w:r>
      <w:r>
        <w:rPr>
          <w:rFonts w:hint="default" w:ascii="Times New Roman" w:hAnsi="Times New Roman" w:eastAsia="Luxi Sans" w:cs="Times New Roman"/>
          <w:sz w:val="22"/>
          <w:szCs w:val="22"/>
        </w:rPr>
        <w:t>moduły fotowoltaiczne o powierzchni antyrefleksyjnej.</w:t>
      </w:r>
    </w:p>
    <w:p w14:paraId="54CC4903">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eastAsia="Luxi Sans" w:cs="Times New Roman"/>
          <w:sz w:val="22"/>
          <w:szCs w:val="22"/>
        </w:rPr>
        <w:t>Panele</w:t>
      </w:r>
      <w:r>
        <w:rPr>
          <w:rFonts w:hint="default" w:ascii="Times New Roman" w:hAnsi="Times New Roman" w:eastAsia="Luxi Sans" w:cs="Times New Roman"/>
          <w:sz w:val="22"/>
          <w:szCs w:val="22"/>
          <w:lang w:eastAsia="en-US"/>
        </w:rPr>
        <w:t xml:space="preserve"> </w:t>
      </w:r>
      <w:r>
        <w:rPr>
          <w:rFonts w:hint="default" w:ascii="Times New Roman" w:hAnsi="Times New Roman" w:eastAsia="Luxi Sans" w:cs="Times New Roman"/>
          <w:sz w:val="22"/>
          <w:szCs w:val="22"/>
        </w:rPr>
        <w:t>słoneczne montować na wysokości minimum 0,8 m mierząc od dolnej krawędzi paneli do powierzchni ziemi.</w:t>
      </w:r>
    </w:p>
    <w:p w14:paraId="3A301EDD">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eastAsia="Luxi Sans" w:cs="Times New Roman"/>
          <w:sz w:val="22"/>
          <w:szCs w:val="22"/>
        </w:rPr>
        <w:t>Na etapie prowadzenia prac ziemnych codziennie przed rozpoczęciem prac kontrolować wykopy, a uwięzione w nich zwierzęta niezwłocznie przenosić w bezpieczne miejsce. Taką samą kontrolę przeprowadzić bezpośrednio przed zasypaniem wykopów.</w:t>
      </w:r>
    </w:p>
    <w:p w14:paraId="0EB4BFF4">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eastAsia="Luxi Sans" w:cs="Times New Roman"/>
          <w:sz w:val="22"/>
          <w:szCs w:val="22"/>
        </w:rPr>
        <w:t>Koszenie roślinności pokrywającej teren elektrowni prowadzić na etapie eksploatacji przedsięwzięcia w okresie od 1-15 sierpnia oraz od 1 listopada do 15 lutego.</w:t>
      </w:r>
    </w:p>
    <w:p w14:paraId="69275C1A">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bCs/>
          <w:sz w:val="22"/>
          <w:szCs w:val="22"/>
        </w:rPr>
        <w:t>Do</w:t>
      </w:r>
      <w:r>
        <w:rPr>
          <w:rFonts w:hint="default" w:ascii="Times New Roman" w:hAnsi="Times New Roman" w:eastAsia="Luxi Sans" w:cs="Times New Roman"/>
          <w:sz w:val="22"/>
          <w:szCs w:val="22"/>
          <w:lang w:eastAsia="en-US"/>
        </w:rPr>
        <w:t xml:space="preserve"> </w:t>
      </w:r>
      <w:r>
        <w:rPr>
          <w:rFonts w:hint="default" w:ascii="Times New Roman" w:hAnsi="Times New Roman" w:cs="Times New Roman"/>
          <w:bCs/>
          <w:sz w:val="22"/>
          <w:szCs w:val="22"/>
        </w:rPr>
        <w:t>obsiewu powierzchni biologicznie czynnych elektrowni słonecznej nie używać gatunków roślin obcego pochodzenia.</w:t>
      </w:r>
    </w:p>
    <w:p w14:paraId="3B69C289">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bCs/>
          <w:sz w:val="22"/>
          <w:szCs w:val="22"/>
        </w:rPr>
        <w:t>Nie</w:t>
      </w:r>
      <w:r>
        <w:rPr>
          <w:rFonts w:hint="default" w:ascii="Times New Roman" w:hAnsi="Times New Roman" w:eastAsia="Luxi Sans" w:cs="Times New Roman"/>
          <w:sz w:val="22"/>
          <w:szCs w:val="22"/>
          <w:lang w:eastAsia="en-US"/>
        </w:rPr>
        <w:t xml:space="preserve"> </w:t>
      </w:r>
      <w:r>
        <w:rPr>
          <w:rFonts w:hint="default" w:ascii="Times New Roman" w:hAnsi="Times New Roman" w:cs="Times New Roman"/>
          <w:bCs/>
          <w:sz w:val="22"/>
          <w:szCs w:val="22"/>
        </w:rPr>
        <w:t>stosować nawozów sztucznych i chemicznych środków ochrony roślin.</w:t>
      </w:r>
    </w:p>
    <w:p w14:paraId="32630485">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bCs/>
          <w:sz w:val="22"/>
          <w:szCs w:val="22"/>
        </w:rPr>
        <w:t>W</w:t>
      </w:r>
      <w:r>
        <w:rPr>
          <w:rFonts w:hint="default" w:ascii="Times New Roman" w:hAnsi="Times New Roman" w:eastAsia="Luxi Sans" w:cs="Times New Roman"/>
          <w:sz w:val="22"/>
          <w:szCs w:val="22"/>
          <w:lang w:eastAsia="en-US"/>
        </w:rPr>
        <w:t xml:space="preserve"> </w:t>
      </w:r>
      <w:r>
        <w:rPr>
          <w:rFonts w:hint="default" w:ascii="Times New Roman" w:hAnsi="Times New Roman" w:cs="Times New Roman"/>
          <w:bCs/>
          <w:sz w:val="22"/>
          <w:szCs w:val="22"/>
        </w:rPr>
        <w:t>porze nocnej nie stosować ciągłego oświetlenia terenu elektrowni i jej ogrodzenia.</w:t>
      </w:r>
    </w:p>
    <w:p w14:paraId="1C5B4BC1">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shd w:val="clear" w:color="auto" w:fill="FFFFFF"/>
        </w:rPr>
        <w:t xml:space="preserve">W przypadku mycia paneli fotowoltaicznych stosować czystą wodę bez dodatku detergentów. </w:t>
      </w:r>
    </w:p>
    <w:p w14:paraId="434E2903">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rPr>
        <w:t>Transformatory posadowić w kontenerowych stacjach transformatorowych. W przypadku zastosowania transformatorów olejowych, każdy transformator wyposażyć w szczelną misę olejową o pojemności pozwalającej pomieścić całą objętość oleju znajdującego się w transformatorze oraz pozostałości po ewentualnej akcji gaśniczej.</w:t>
      </w:r>
    </w:p>
    <w:p w14:paraId="16F8E879">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rPr>
        <w:t>Bateryjne magazyny energii zlokalizować w kontenerach ze szczelną posadzką, w ilości do 12 sztuk.</w:t>
      </w:r>
    </w:p>
    <w:p w14:paraId="4335D2E5">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lang w:val="pl-PL"/>
        </w:rPr>
        <w:t xml:space="preserve">Miejsca postoju maszyn i urządzeń budowlanych utwardzić i uszczelnić oraz wyposażyć w maty sorbujące oraz zapewnić szczelność powierzchni w szczególności w strefach rozładunku                             i magazynowania materiałów budowlanych. </w:t>
      </w:r>
    </w:p>
    <w:p w14:paraId="25572904">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lang w:val="pl-PL"/>
        </w:rPr>
        <w:t>W trakcie prac budowlanych chronić otwarte wykopy przed ich zalaniem oraz przed możliwością przedostania się do nich zanieczyszczeń.</w:t>
      </w:r>
    </w:p>
    <w:p w14:paraId="534C69DB">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lang w:val="pl-PL"/>
        </w:rPr>
        <w:t>Przerwane sieci drenarskie należy odbudować w taki sposób, aby zapewnić odpowiednie odwodnienie gruntów przyległych.</w:t>
      </w:r>
    </w:p>
    <w:p w14:paraId="26A6B94B">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lang w:val="pl-PL"/>
        </w:rPr>
        <w:t>Potrzeby sanitarne ekip budowlanych i osób przebywających na terenie budowy zabezpieczyć poprzez ustawienie przenośnych sanitariatów (sanitariaty powinny posiadać szczelne zbiorniki na ścieki) opróżnianych przez wyspecjalizowane firmy.</w:t>
      </w:r>
    </w:p>
    <w:p w14:paraId="63EA9BFA">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lang w:val="pl-PL"/>
        </w:rPr>
        <w:t>Odpady gromadzić selektywnie w wydzielonych i przystosowanych do tego miejscach,                               w warunkach zabezpieczających przed przedostaniem się do środowiska substancji szkodliwych oraz zapewnić ich regularny odbiór przez uprawione firmy.</w:t>
      </w:r>
    </w:p>
    <w:p w14:paraId="54FA9360">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lang w:val="pl-PL"/>
        </w:rPr>
        <w:t>Wody opadowe lub roztopowe odprowadzić do gruntu w sposób nie powodujący szkód na terenach sąsiednich.</w:t>
      </w:r>
    </w:p>
    <w:p w14:paraId="12B08344">
      <w:pPr>
        <w:numPr>
          <w:ilvl w:val="0"/>
          <w:numId w:val="1"/>
        </w:numPr>
        <w:suppressAutoHyphens/>
        <w:spacing w:line="240" w:lineRule="auto"/>
        <w:ind w:left="426" w:hanging="426"/>
        <w:jc w:val="both"/>
        <w:rPr>
          <w:rFonts w:hint="default" w:ascii="Times New Roman" w:hAnsi="Times New Roman" w:eastAsia="Luxi Sans" w:cs="Times New Roman"/>
          <w:sz w:val="22"/>
          <w:szCs w:val="22"/>
        </w:rPr>
      </w:pPr>
      <w:r>
        <w:rPr>
          <w:rFonts w:hint="default" w:ascii="Times New Roman" w:hAnsi="Times New Roman" w:cs="Times New Roman"/>
          <w:sz w:val="22"/>
          <w:szCs w:val="22"/>
          <w:lang w:val="pl-PL"/>
        </w:rPr>
        <w:t>Uzyskać pozwolenie wodnoprawne na przekroczenie cieku.</w:t>
      </w:r>
    </w:p>
    <w:p w14:paraId="1A6B7D8B">
      <w:pPr>
        <w:numPr>
          <w:ilvl w:val="0"/>
          <w:numId w:val="0"/>
        </w:numPr>
        <w:suppressAutoHyphens/>
        <w:spacing w:line="240" w:lineRule="auto"/>
        <w:jc w:val="both"/>
        <w:rPr>
          <w:rFonts w:hint="default" w:ascii="Times New Roman" w:hAnsi="Times New Roman" w:eastAsia="Luxi Sans" w:cs="Times New Roman"/>
          <w:sz w:val="22"/>
          <w:szCs w:val="22"/>
        </w:rPr>
      </w:pPr>
    </w:p>
    <w:p w14:paraId="74D3A13D">
      <w:pPr>
        <w:suppressAutoHyphens/>
        <w:spacing w:line="240" w:lineRule="auto"/>
        <w:ind w:left="567"/>
        <w:contextualSpacing/>
        <w:jc w:val="both"/>
        <w:rPr>
          <w:rFonts w:hint="default" w:ascii="Times New Roman" w:hAnsi="Times New Roman" w:cs="Times New Roman"/>
          <w:sz w:val="22"/>
          <w:szCs w:val="22"/>
        </w:rPr>
      </w:pPr>
    </w:p>
    <w:p w14:paraId="7D335B9E">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u w:val="single"/>
        </w:rPr>
        <w:t>Wnioskodawca:</w:t>
      </w:r>
    </w:p>
    <w:p w14:paraId="48ECB220">
      <w:pPr>
        <w:suppressAutoHyphens/>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ZEUS 2 Sp. z o.o.</w:t>
      </w:r>
    </w:p>
    <w:p w14:paraId="44E1B32E">
      <w:pPr>
        <w:suppressAutoHyphens/>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ul. 1 Maja 39</w:t>
      </w:r>
    </w:p>
    <w:p w14:paraId="0028AE42">
      <w:pPr>
        <w:suppressAutoHyphens/>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71-627 Szczecin</w:t>
      </w:r>
    </w:p>
    <w:p w14:paraId="75454C81">
      <w:pPr>
        <w:suppressAutoHyphens/>
        <w:spacing w:line="240" w:lineRule="auto"/>
        <w:jc w:val="both"/>
        <w:rPr>
          <w:rFonts w:hint="default" w:ascii="Times New Roman" w:hAnsi="Times New Roman" w:cs="Times New Roman"/>
          <w:sz w:val="22"/>
          <w:szCs w:val="22"/>
        </w:rPr>
      </w:pPr>
    </w:p>
    <w:p w14:paraId="3CF11594">
      <w:pPr>
        <w:spacing w:line="240" w:lineRule="auto"/>
        <w:jc w:val="both"/>
        <w:rPr>
          <w:rFonts w:hint="default" w:ascii="Times New Roman" w:hAnsi="Times New Roman" w:cs="Times New Roman"/>
          <w:sz w:val="22"/>
          <w:szCs w:val="22"/>
        </w:rPr>
      </w:pPr>
    </w:p>
    <w:p w14:paraId="1457DFF5">
      <w:pPr>
        <w:spacing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II.</w:t>
      </w:r>
      <w:r>
        <w:rPr>
          <w:rFonts w:hint="default" w:ascii="Times New Roman" w:hAnsi="Times New Roman" w:cs="Times New Roman"/>
          <w:sz w:val="22"/>
          <w:szCs w:val="22"/>
        </w:rPr>
        <w:t xml:space="preserve"> Integralną częścią decyzji jest załącznik  – charakterystyka przedsięwzięcia</w:t>
      </w:r>
    </w:p>
    <w:p w14:paraId="56E7D0DF">
      <w:pPr>
        <w:spacing w:line="240" w:lineRule="auto"/>
        <w:jc w:val="both"/>
        <w:rPr>
          <w:rFonts w:hint="default" w:ascii="Times New Roman" w:hAnsi="Times New Roman" w:cs="Times New Roman"/>
          <w:sz w:val="22"/>
          <w:szCs w:val="22"/>
        </w:rPr>
      </w:pPr>
    </w:p>
    <w:p w14:paraId="353A93EE">
      <w:pPr>
        <w:spacing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UZASADNIENIE</w:t>
      </w:r>
    </w:p>
    <w:p w14:paraId="4D581B6B">
      <w:pPr>
        <w:spacing w:line="240" w:lineRule="auto"/>
        <w:ind w:firstLine="708"/>
        <w:jc w:val="both"/>
        <w:rPr>
          <w:rFonts w:hint="default" w:ascii="Times New Roman" w:hAnsi="Times New Roman" w:cs="Times New Roman"/>
          <w:sz w:val="22"/>
          <w:szCs w:val="22"/>
        </w:rPr>
      </w:pPr>
    </w:p>
    <w:p w14:paraId="58D9F81B">
      <w:pPr>
        <w:spacing w:after="20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W dniu </w:t>
      </w:r>
      <w:r>
        <w:rPr>
          <w:rFonts w:hint="default" w:ascii="Times New Roman" w:hAnsi="Times New Roman" w:cs="Times New Roman"/>
          <w:sz w:val="22"/>
          <w:szCs w:val="22"/>
          <w:lang w:val="pl-PL"/>
        </w:rPr>
        <w:t>02</w:t>
      </w:r>
      <w:r>
        <w:rPr>
          <w:rFonts w:hint="default" w:ascii="Times New Roman" w:hAnsi="Times New Roman" w:cs="Times New Roman"/>
          <w:sz w:val="22"/>
          <w:szCs w:val="22"/>
        </w:rPr>
        <w:t>.0</w:t>
      </w:r>
      <w:r>
        <w:rPr>
          <w:rFonts w:hint="default" w:ascii="Times New Roman" w:hAnsi="Times New Roman" w:cs="Times New Roman"/>
          <w:sz w:val="22"/>
          <w:szCs w:val="22"/>
          <w:lang w:val="pl-PL"/>
        </w:rPr>
        <w:t>8</w:t>
      </w:r>
      <w:r>
        <w:rPr>
          <w:rFonts w:hint="default" w:ascii="Times New Roman" w:hAnsi="Times New Roman" w:cs="Times New Roman"/>
          <w:sz w:val="22"/>
          <w:szCs w:val="22"/>
        </w:rPr>
        <w:t>.2024r. do Burmistrz Pogorzeli wpłynął wniosek o wydanie decyzji                                   o środowiskowych uwarunkowaniach dla przedsięwzięcia</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polegającego na budowie zespołu elektrowni fotowoltaicznych o łącznej mocy do 6 MW wraz z niezbędną infrastrukturą techniczną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z możliwością instalacji kontenerowych magazynów energii o łącznej mocy do 6 MW na dz. nr ewid. 205, 209 i 221 obręb Gumienice, gmina Pogorzela.</w:t>
      </w:r>
    </w:p>
    <w:p w14:paraId="37E0202C">
      <w:pPr>
        <w:spacing w:after="20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Do wniosku o wydanie decyzji o środowiskowych uwarunkowaniach dołączono kartę informacyjną przedsięwzięcia, dalej k.i.p.,</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pełnomocnictwo dla Pana</w:t>
      </w:r>
      <w:r>
        <w:rPr>
          <w:rFonts w:hint="default" w:ascii="Times New Roman" w:hAnsi="Times New Roman" w:cs="Times New Roman"/>
          <w:sz w:val="22"/>
          <w:szCs w:val="22"/>
          <w:lang w:val="pl-PL"/>
        </w:rPr>
        <w:t xml:space="preserve"> Dariusza Frej</w:t>
      </w:r>
      <w:r>
        <w:rPr>
          <w:rFonts w:hint="default" w:ascii="Times New Roman" w:hAnsi="Times New Roman" w:cs="Times New Roman"/>
          <w:sz w:val="22"/>
          <w:szCs w:val="22"/>
        </w:rPr>
        <w:t xml:space="preserve"> do reprezentowania wnioskodawcy, uproszczony wypis z rejestru gruntów, kopię mapy ewidencyjnej</w:t>
      </w:r>
      <w:r>
        <w:rPr>
          <w:rFonts w:hint="default" w:ascii="Times New Roman" w:hAnsi="Times New Roman" w:cs="Times New Roman"/>
          <w:sz w:val="22"/>
          <w:szCs w:val="22"/>
          <w:lang w:val="pl-PL"/>
        </w:rPr>
        <w:t xml:space="preserve">, inwentaryzację  przyrodniczą. </w:t>
      </w:r>
    </w:p>
    <w:p w14:paraId="5A6B298B">
      <w:pPr>
        <w:spacing w:after="200" w:line="240" w:lineRule="auto"/>
        <w:ind w:firstLine="567"/>
        <w:jc w:val="both"/>
        <w:rPr>
          <w:rFonts w:hint="default" w:ascii="Times New Roman" w:hAnsi="Times New Roman" w:cs="Times New Roman"/>
          <w:sz w:val="22"/>
          <w:szCs w:val="22"/>
          <w:lang w:eastAsia="ar-SA"/>
        </w:rPr>
      </w:pPr>
      <w:r>
        <w:rPr>
          <w:rFonts w:hint="default" w:ascii="Times New Roman" w:hAnsi="Times New Roman" w:cs="Times New Roman"/>
          <w:sz w:val="22"/>
          <w:szCs w:val="22"/>
          <w:lang w:eastAsia="ar-SA"/>
        </w:rPr>
        <w:t>Planowane przedsięwzięcie kwalifikuje się do</w:t>
      </w:r>
      <w:r>
        <w:rPr>
          <w:rFonts w:hint="default" w:ascii="Times New Roman" w:hAnsi="Times New Roman" w:cs="Times New Roman"/>
          <w:sz w:val="22"/>
          <w:szCs w:val="22"/>
          <w:lang w:val="pl-PL" w:eastAsia="ar-SA"/>
        </w:rPr>
        <w:t xml:space="preserve"> </w:t>
      </w:r>
      <w:r>
        <w:rPr>
          <w:rFonts w:hint="default" w:ascii="Times New Roman" w:hAnsi="Times New Roman" w:cs="Times New Roman"/>
          <w:sz w:val="22"/>
          <w:szCs w:val="22"/>
        </w:rPr>
        <w:t>§ 3 ust. 1 pkt 54a lit. b rozporządzenia Rady Ministrów z dnia 10 września 2019 r. w sprawie przedsięwzięć mogących znacząco oddziaływać na środowisko (Dz. U. poz. 1839 z późn. zm.)</w:t>
      </w:r>
      <w:r>
        <w:rPr>
          <w:rFonts w:hint="default" w:ascii="Times New Roman" w:hAnsi="Times New Roman" w:cs="Times New Roman"/>
          <w:sz w:val="22"/>
          <w:szCs w:val="22"/>
          <w:lang w:eastAsia="ar-SA"/>
        </w:rPr>
        <w:t xml:space="preserve">  tj. do przedsięwzięć mogących potencjalnie znacząco oddziaływać na środowisko, dla których obowiązek przeprowadzenia oceny oddziaływania na środowisko może być stwierdzony.</w:t>
      </w:r>
    </w:p>
    <w:p w14:paraId="1048DC56">
      <w:pPr>
        <w:spacing w:line="240" w:lineRule="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Gmina Pogorzela nie posiada miejscowego planu zagospodarowania przestrzennego.                            W obecnie obowiązującym Studium Uwarunkowań i Kierunków Zagospodarowania Przestrzennego Miasta i Gminy Pogorzela zatwierdzonym Uchwałą Rady Miejskiej Nr XXVIII/183/09 z dnia 17.07.2009r. dz.nr 205 i 209 usytuowane są w strefie rolniczej bez prawa zabudowy, natomiast dz. nr 221 stanowi tereny wód otwartych.</w:t>
      </w:r>
    </w:p>
    <w:p w14:paraId="775677BA">
      <w:pPr>
        <w:pStyle w:val="13"/>
        <w:spacing w:line="240" w:lineRule="auto"/>
        <w:ind w:left="0"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W związku z powyższym zgodnie z art. 64 ustawy z dnia 3 października 2008r                                 o udostępnianiu informacji o środowisku i jego ochronie, udziale społeczeństwa w ochronie środowiska oraz o ocenach oddziaływania na środowisko (Dz. U. z 2024r. poz. 1112) Burmistrz Pogorzeli pismem z dnia </w:t>
      </w:r>
      <w:r>
        <w:rPr>
          <w:rFonts w:hint="default" w:ascii="Times New Roman" w:hAnsi="Times New Roman" w:cs="Times New Roman"/>
          <w:sz w:val="22"/>
          <w:szCs w:val="22"/>
          <w:lang w:val="pl-PL"/>
        </w:rPr>
        <w:t>14</w:t>
      </w:r>
      <w:r>
        <w:rPr>
          <w:rFonts w:hint="default" w:ascii="Times New Roman" w:hAnsi="Times New Roman" w:cs="Times New Roman"/>
          <w:sz w:val="22"/>
          <w:szCs w:val="22"/>
        </w:rPr>
        <w:t>.0</w:t>
      </w:r>
      <w:r>
        <w:rPr>
          <w:rFonts w:hint="default" w:ascii="Times New Roman" w:hAnsi="Times New Roman" w:cs="Times New Roman"/>
          <w:sz w:val="22"/>
          <w:szCs w:val="22"/>
          <w:lang w:val="pl-PL"/>
        </w:rPr>
        <w:t>8</w:t>
      </w:r>
      <w:r>
        <w:rPr>
          <w:rFonts w:hint="default" w:ascii="Times New Roman" w:hAnsi="Times New Roman" w:cs="Times New Roman"/>
          <w:sz w:val="22"/>
          <w:szCs w:val="22"/>
        </w:rPr>
        <w:t>.2024r, znak OŚ.6220.0</w:t>
      </w:r>
      <w:r>
        <w:rPr>
          <w:rFonts w:hint="default" w:ascii="Times New Roman" w:hAnsi="Times New Roman" w:cs="Times New Roman"/>
          <w:sz w:val="22"/>
          <w:szCs w:val="22"/>
          <w:lang w:val="pl-PL"/>
        </w:rPr>
        <w:t>9</w:t>
      </w:r>
      <w:r>
        <w:rPr>
          <w:rFonts w:hint="default" w:ascii="Times New Roman" w:hAnsi="Times New Roman" w:cs="Times New Roman"/>
          <w:sz w:val="22"/>
          <w:szCs w:val="22"/>
        </w:rPr>
        <w:t xml:space="preserve">.1.2024 zwróciła się do Regionalnego Dyrektora Ochrony Środowiska w Poznaniu, Państwowego Powiatowego Inspektora Sanitarnego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w Gostyniu oraz do Państwowego Gospodarstwa Wodnego Wód Polskich we Wrocławiu Zarząd Zlewni w Lesznie z prośbą o opinię, co do potrzeby przeprowadzenia oceny oddziaływania na środowisko i ewentualny zakres raportu dla przedmiotowego przedsięwzięcia.</w:t>
      </w:r>
    </w:p>
    <w:p w14:paraId="644EFBC4">
      <w:pPr>
        <w:spacing w:line="240" w:lineRule="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Liczba stron w postępowaniu przekracza 10, zatem stosuje się art. 49 Kodeksu postępowania administracyjnego (Dz. U. z 2024r. poz. 572) zgodnie z art.74 ust 3 ustawy z dnia 3 października 2008 r. o udostępnianiu informacji o środowisku i jego ochronie, udziale społeczeństwa w ochronie środowiska oraz o ocenach oddziaływania na środowisko (Dz. U. z 2024r. poz. 1112). </w:t>
      </w:r>
    </w:p>
    <w:p w14:paraId="2F29E692">
      <w:pPr>
        <w:spacing w:line="240" w:lineRule="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Zawiadomienie o wszczęciu postępowania w formie publicznego ogłoszenia z dnia </w:t>
      </w:r>
      <w:r>
        <w:rPr>
          <w:rFonts w:hint="default" w:ascii="Times New Roman" w:hAnsi="Times New Roman" w:cs="Times New Roman"/>
          <w:sz w:val="22"/>
          <w:szCs w:val="22"/>
          <w:lang w:val="pl-PL"/>
        </w:rPr>
        <w:t>14</w:t>
      </w:r>
      <w:r>
        <w:rPr>
          <w:rFonts w:hint="default" w:ascii="Times New Roman" w:hAnsi="Times New Roman" w:cs="Times New Roman"/>
          <w:sz w:val="22"/>
          <w:szCs w:val="22"/>
        </w:rPr>
        <w:t>.0</w:t>
      </w:r>
      <w:r>
        <w:rPr>
          <w:rFonts w:hint="default" w:ascii="Times New Roman" w:hAnsi="Times New Roman" w:cs="Times New Roman"/>
          <w:sz w:val="22"/>
          <w:szCs w:val="22"/>
          <w:lang w:val="pl-PL"/>
        </w:rPr>
        <w:t>8</w:t>
      </w:r>
      <w:r>
        <w:rPr>
          <w:rFonts w:hint="default" w:ascii="Times New Roman" w:hAnsi="Times New Roman" w:cs="Times New Roman"/>
          <w:sz w:val="22"/>
          <w:szCs w:val="22"/>
        </w:rPr>
        <w:t>.2024r. znak OŚ.6220.0</w:t>
      </w:r>
      <w:r>
        <w:rPr>
          <w:rFonts w:hint="default" w:ascii="Times New Roman" w:hAnsi="Times New Roman" w:cs="Times New Roman"/>
          <w:sz w:val="22"/>
          <w:szCs w:val="22"/>
          <w:lang w:val="pl-PL"/>
        </w:rPr>
        <w:t>9</w:t>
      </w:r>
      <w:r>
        <w:rPr>
          <w:rFonts w:hint="default" w:ascii="Times New Roman" w:hAnsi="Times New Roman" w:cs="Times New Roman"/>
          <w:sz w:val="22"/>
          <w:szCs w:val="22"/>
        </w:rPr>
        <w:t xml:space="preserve">.2.2024 zostało podane poprzez umieszczenie na tablicy ogłoszeń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w siedzibie Urzędu Miejskiego w Pogorzeli, na stronie BIP Gminy Pogorzela</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na tablicy informacyjnej w sołectwie </w:t>
      </w:r>
      <w:r>
        <w:rPr>
          <w:rFonts w:hint="default" w:ascii="Times New Roman" w:hAnsi="Times New Roman" w:cs="Times New Roman"/>
          <w:sz w:val="22"/>
          <w:szCs w:val="22"/>
          <w:lang w:val="pl-PL"/>
        </w:rPr>
        <w:t>Gumienice, a  także w  związku z bliskim sąsiedztwem terenów leśnych                 w Nadleśnictwie Piaski.</w:t>
      </w:r>
    </w:p>
    <w:p w14:paraId="132353B1">
      <w:pPr>
        <w:spacing w:line="240" w:lineRule="auto"/>
        <w:ind w:right="-108"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Do Urzędu Miejskiego w Pogorzeli wpłynęła Opinia Sanitarna Państwowego Powiatowego Inspektora Sanitarnego w Gostyniu z dnia </w:t>
      </w:r>
      <w:r>
        <w:rPr>
          <w:rFonts w:hint="default" w:ascii="Times New Roman" w:hAnsi="Times New Roman" w:cs="Times New Roman"/>
          <w:sz w:val="22"/>
          <w:szCs w:val="22"/>
          <w:lang w:val="pl-PL"/>
        </w:rPr>
        <w:t>30</w:t>
      </w:r>
      <w:r>
        <w:rPr>
          <w:rFonts w:hint="default" w:ascii="Times New Roman" w:hAnsi="Times New Roman" w:cs="Times New Roman"/>
          <w:sz w:val="22"/>
          <w:szCs w:val="22"/>
        </w:rPr>
        <w:t>.08.2024r. znak ON.NS.9011.2.2</w:t>
      </w:r>
      <w:r>
        <w:rPr>
          <w:rFonts w:hint="default" w:ascii="Times New Roman" w:hAnsi="Times New Roman" w:cs="Times New Roman"/>
          <w:sz w:val="22"/>
          <w:szCs w:val="22"/>
          <w:lang w:val="pl-PL"/>
        </w:rPr>
        <w:t>6</w:t>
      </w:r>
      <w:r>
        <w:rPr>
          <w:rFonts w:hint="default" w:ascii="Times New Roman" w:hAnsi="Times New Roman" w:cs="Times New Roman"/>
          <w:sz w:val="22"/>
          <w:szCs w:val="22"/>
        </w:rPr>
        <w:t xml:space="preserve">.2024 o braku potrzeby przeprowadzenia oceny oddziaływania na środowisko przedmiotowego przedsięwzięcia (data wpływu pisma </w:t>
      </w:r>
      <w:r>
        <w:rPr>
          <w:rFonts w:hint="default" w:ascii="Times New Roman" w:hAnsi="Times New Roman" w:cs="Times New Roman"/>
          <w:sz w:val="22"/>
          <w:szCs w:val="22"/>
          <w:lang w:val="pl-PL"/>
        </w:rPr>
        <w:t>30</w:t>
      </w:r>
      <w:r>
        <w:rPr>
          <w:rFonts w:hint="default" w:ascii="Times New Roman" w:hAnsi="Times New Roman" w:cs="Times New Roman"/>
          <w:sz w:val="22"/>
          <w:szCs w:val="22"/>
        </w:rPr>
        <w:t xml:space="preserve">.08.2024r.). </w:t>
      </w:r>
    </w:p>
    <w:p w14:paraId="6BB56F2B">
      <w:pPr>
        <w:spacing w:line="240" w:lineRule="auto"/>
        <w:ind w:right="-108" w:firstLine="540"/>
        <w:jc w:val="both"/>
        <w:rPr>
          <w:rFonts w:hint="default" w:ascii="Times New Roman" w:hAnsi="Times New Roman" w:cs="Times New Roman"/>
          <w:sz w:val="22"/>
          <w:szCs w:val="22"/>
        </w:rPr>
      </w:pPr>
      <w:r>
        <w:rPr>
          <w:rFonts w:hint="default" w:ascii="Times New Roman" w:hAnsi="Times New Roman" w:cs="Times New Roman"/>
          <w:sz w:val="22"/>
          <w:szCs w:val="22"/>
        </w:rPr>
        <w:t>Opinią Państwowego Gospodarstwa Wodnego Zarządu Zlewni w Lesznie z dnia 2</w:t>
      </w:r>
      <w:r>
        <w:rPr>
          <w:rFonts w:hint="default" w:ascii="Times New Roman" w:hAnsi="Times New Roman" w:cs="Times New Roman"/>
          <w:sz w:val="22"/>
          <w:szCs w:val="22"/>
          <w:lang w:val="pl-PL"/>
        </w:rPr>
        <w:t>3</w:t>
      </w:r>
      <w:r>
        <w:rPr>
          <w:rFonts w:hint="default" w:ascii="Times New Roman" w:hAnsi="Times New Roman" w:cs="Times New Roman"/>
          <w:sz w:val="22"/>
          <w:szCs w:val="22"/>
        </w:rPr>
        <w:t>.0</w:t>
      </w:r>
      <w:r>
        <w:rPr>
          <w:rFonts w:hint="default" w:ascii="Times New Roman" w:hAnsi="Times New Roman" w:cs="Times New Roman"/>
          <w:sz w:val="22"/>
          <w:szCs w:val="22"/>
          <w:lang w:val="pl-PL"/>
        </w:rPr>
        <w:t>8</w:t>
      </w:r>
      <w:r>
        <w:rPr>
          <w:rFonts w:hint="default" w:ascii="Times New Roman" w:hAnsi="Times New Roman" w:cs="Times New Roman"/>
          <w:sz w:val="22"/>
          <w:szCs w:val="22"/>
        </w:rPr>
        <w:t>.2024r. znak VS.ZZŚ.4901.1</w:t>
      </w:r>
      <w:r>
        <w:rPr>
          <w:rFonts w:hint="default" w:ascii="Times New Roman" w:hAnsi="Times New Roman" w:cs="Times New Roman"/>
          <w:sz w:val="22"/>
          <w:szCs w:val="22"/>
          <w:lang w:val="pl-PL"/>
        </w:rPr>
        <w:t>69</w:t>
      </w:r>
      <w:r>
        <w:rPr>
          <w:rFonts w:hint="default" w:ascii="Times New Roman" w:hAnsi="Times New Roman" w:cs="Times New Roman"/>
          <w:sz w:val="22"/>
          <w:szCs w:val="22"/>
        </w:rPr>
        <w:t>.2024.</w:t>
      </w:r>
      <w:r>
        <w:rPr>
          <w:rFonts w:hint="default" w:ascii="Times New Roman" w:hAnsi="Times New Roman" w:cs="Times New Roman"/>
          <w:sz w:val="22"/>
          <w:szCs w:val="22"/>
          <w:lang w:val="pl-PL"/>
        </w:rPr>
        <w:t>OS</w:t>
      </w:r>
      <w:r>
        <w:rPr>
          <w:rFonts w:hint="default" w:ascii="Times New Roman" w:hAnsi="Times New Roman" w:cs="Times New Roman"/>
          <w:sz w:val="22"/>
          <w:szCs w:val="22"/>
        </w:rPr>
        <w:t xml:space="preserve"> (data wpływu do urzędu </w:t>
      </w:r>
      <w:r>
        <w:rPr>
          <w:rFonts w:hint="default" w:ascii="Times New Roman" w:hAnsi="Times New Roman" w:cs="Times New Roman"/>
          <w:sz w:val="22"/>
          <w:szCs w:val="22"/>
          <w:lang w:val="pl-PL"/>
        </w:rPr>
        <w:t>28</w:t>
      </w:r>
      <w:r>
        <w:rPr>
          <w:rFonts w:hint="default" w:ascii="Times New Roman" w:hAnsi="Times New Roman" w:cs="Times New Roman"/>
          <w:sz w:val="22"/>
          <w:szCs w:val="22"/>
        </w:rPr>
        <w:t xml:space="preserve">.08.2024r.) stwierdzono brak potrzeby przeprowadzenia oceny oddziaływania na środowisko oraz wskazano na konieczność wskazania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w decyzji o środowiskowych uwarunkowaniach określonych wymagań.</w:t>
      </w:r>
    </w:p>
    <w:p w14:paraId="325F36F7">
      <w:pPr>
        <w:spacing w:line="240" w:lineRule="auto"/>
        <w:ind w:right="-108"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Postanowieniem z dnia </w:t>
      </w:r>
      <w:r>
        <w:rPr>
          <w:rFonts w:hint="default" w:ascii="Times New Roman" w:hAnsi="Times New Roman" w:cs="Times New Roman"/>
          <w:sz w:val="22"/>
          <w:szCs w:val="22"/>
          <w:lang w:val="pl-PL"/>
        </w:rPr>
        <w:t>02</w:t>
      </w:r>
      <w:r>
        <w:rPr>
          <w:rFonts w:hint="default" w:ascii="Times New Roman" w:hAnsi="Times New Roman" w:cs="Times New Roman"/>
          <w:sz w:val="22"/>
          <w:szCs w:val="22"/>
        </w:rPr>
        <w:t>.0</w:t>
      </w:r>
      <w:r>
        <w:rPr>
          <w:rFonts w:hint="default" w:ascii="Times New Roman" w:hAnsi="Times New Roman" w:cs="Times New Roman"/>
          <w:sz w:val="22"/>
          <w:szCs w:val="22"/>
          <w:lang w:val="pl-PL"/>
        </w:rPr>
        <w:t>9</w:t>
      </w:r>
      <w:r>
        <w:rPr>
          <w:rFonts w:hint="default" w:ascii="Times New Roman" w:hAnsi="Times New Roman" w:cs="Times New Roman"/>
          <w:sz w:val="22"/>
          <w:szCs w:val="22"/>
        </w:rPr>
        <w:t>.2024r. znak WOO-IV.</w:t>
      </w:r>
      <w:r>
        <w:rPr>
          <w:rFonts w:hint="default" w:ascii="Times New Roman" w:hAnsi="Times New Roman" w:cs="Times New Roman"/>
          <w:sz w:val="22"/>
          <w:szCs w:val="22"/>
          <w:lang w:val="pl-PL"/>
        </w:rPr>
        <w:t>4220.1023.2024.SK.1</w:t>
      </w:r>
      <w:r>
        <w:rPr>
          <w:rFonts w:hint="default" w:ascii="Times New Roman" w:hAnsi="Times New Roman" w:cs="Times New Roman"/>
          <w:sz w:val="22"/>
          <w:szCs w:val="22"/>
        </w:rPr>
        <w:t xml:space="preserve"> (data wpływu 0</w:t>
      </w:r>
      <w:r>
        <w:rPr>
          <w:rFonts w:hint="default" w:ascii="Times New Roman" w:hAnsi="Times New Roman" w:cs="Times New Roman"/>
          <w:sz w:val="22"/>
          <w:szCs w:val="22"/>
          <w:lang w:val="pl-PL"/>
        </w:rPr>
        <w:t>3</w:t>
      </w:r>
      <w:r>
        <w:rPr>
          <w:rFonts w:hint="default" w:ascii="Times New Roman" w:hAnsi="Times New Roman" w:cs="Times New Roman"/>
          <w:sz w:val="22"/>
          <w:szCs w:val="22"/>
        </w:rPr>
        <w:t>.0</w:t>
      </w:r>
      <w:r>
        <w:rPr>
          <w:rFonts w:hint="default" w:ascii="Times New Roman" w:hAnsi="Times New Roman" w:cs="Times New Roman"/>
          <w:sz w:val="22"/>
          <w:szCs w:val="22"/>
          <w:lang w:val="pl-PL"/>
        </w:rPr>
        <w:t>9</w:t>
      </w:r>
      <w:r>
        <w:rPr>
          <w:rFonts w:hint="default" w:ascii="Times New Roman" w:hAnsi="Times New Roman" w:cs="Times New Roman"/>
          <w:sz w:val="22"/>
          <w:szCs w:val="22"/>
        </w:rPr>
        <w:t>.2024r.),</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Regionalny Dyrektor Ochrony Środowiska w Poznaniu stwierdził brak potrzeby przeprowadzenia oceny oddziaływania na środowisko oraz wskazał na konieczność uwzględnienia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w decyzji o środowiskowych uwarunkowaniach warunków i wymagań.    </w:t>
      </w:r>
    </w:p>
    <w:p w14:paraId="719705A9">
      <w:pPr>
        <w:spacing w:line="240" w:lineRule="auto"/>
        <w:ind w:right="-108"/>
        <w:jc w:val="both"/>
        <w:rPr>
          <w:rFonts w:hint="default" w:ascii="Times New Roman" w:hAnsi="Times New Roman" w:cs="Times New Roman"/>
          <w:sz w:val="22"/>
          <w:szCs w:val="22"/>
        </w:rPr>
      </w:pPr>
    </w:p>
    <w:p w14:paraId="422C5574">
      <w:pPr>
        <w:spacing w:line="240" w:lineRule="auto"/>
        <w:ind w:right="-108" w:firstLine="540"/>
        <w:jc w:val="both"/>
        <w:rPr>
          <w:rFonts w:hint="default" w:ascii="Times New Roman" w:hAnsi="Times New Roman" w:cs="Times New Roman"/>
          <w:sz w:val="22"/>
          <w:szCs w:val="22"/>
        </w:rPr>
      </w:pPr>
      <w:r>
        <w:rPr>
          <w:rFonts w:hint="default" w:ascii="Times New Roman" w:hAnsi="Times New Roman" w:cs="Times New Roman"/>
          <w:sz w:val="22"/>
          <w:szCs w:val="22"/>
        </w:rPr>
        <w:t>Burmistrz Pogorzeli zawiadomił</w:t>
      </w:r>
      <w:r>
        <w:rPr>
          <w:rFonts w:hint="default" w:ascii="Times New Roman" w:hAnsi="Times New Roman" w:cs="Times New Roman"/>
          <w:sz w:val="22"/>
          <w:szCs w:val="22"/>
          <w:lang w:val="pl-PL"/>
        </w:rPr>
        <w:t>a</w:t>
      </w:r>
      <w:r>
        <w:rPr>
          <w:rFonts w:hint="default" w:ascii="Times New Roman" w:hAnsi="Times New Roman" w:cs="Times New Roman"/>
          <w:sz w:val="22"/>
          <w:szCs w:val="22"/>
        </w:rPr>
        <w:t xml:space="preserve"> strony postępowania o zebranych dokumentach                                    i materiałach i możliwością wypowiedzenia się co do nich.  Obwieszczenie z dnia</w:t>
      </w:r>
      <w:r>
        <w:rPr>
          <w:rFonts w:hint="default" w:ascii="Times New Roman" w:hAnsi="Times New Roman" w:cs="Times New Roman"/>
          <w:sz w:val="22"/>
          <w:szCs w:val="22"/>
          <w:lang w:val="pl-PL"/>
        </w:rPr>
        <w:t xml:space="preserve"> 11.</w:t>
      </w:r>
      <w:r>
        <w:rPr>
          <w:rFonts w:hint="default" w:ascii="Times New Roman" w:hAnsi="Times New Roman" w:cs="Times New Roman"/>
          <w:sz w:val="22"/>
          <w:szCs w:val="22"/>
        </w:rPr>
        <w:t>0</w:t>
      </w:r>
      <w:r>
        <w:rPr>
          <w:rFonts w:hint="default" w:ascii="Times New Roman" w:hAnsi="Times New Roman" w:cs="Times New Roman"/>
          <w:sz w:val="22"/>
          <w:szCs w:val="22"/>
          <w:lang w:val="pl-PL"/>
        </w:rPr>
        <w:t>9</w:t>
      </w:r>
      <w:r>
        <w:rPr>
          <w:rFonts w:hint="default" w:ascii="Times New Roman" w:hAnsi="Times New Roman" w:cs="Times New Roman"/>
          <w:sz w:val="22"/>
          <w:szCs w:val="22"/>
        </w:rPr>
        <w:t>.2024r. znak OŚ.6220.0</w:t>
      </w:r>
      <w:r>
        <w:rPr>
          <w:rFonts w:hint="default" w:ascii="Times New Roman" w:hAnsi="Times New Roman" w:cs="Times New Roman"/>
          <w:sz w:val="22"/>
          <w:szCs w:val="22"/>
          <w:lang w:val="pl-PL"/>
        </w:rPr>
        <w:t>9</w:t>
      </w:r>
      <w:r>
        <w:rPr>
          <w:rFonts w:hint="default" w:ascii="Times New Roman" w:hAnsi="Times New Roman" w:cs="Times New Roman"/>
          <w:sz w:val="22"/>
          <w:szCs w:val="22"/>
        </w:rPr>
        <w:t xml:space="preserve">.3.2024 zostało umieszczone na tablicy ogłoszeń w siedzibie Urzędu Miejskiego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w Pogorzeli, na stronie BIP Gminy Pogorzela</w:t>
      </w:r>
      <w:r>
        <w:rPr>
          <w:rFonts w:hint="default" w:ascii="Times New Roman" w:hAnsi="Times New Roman" w:cs="Times New Roman"/>
          <w:sz w:val="22"/>
          <w:szCs w:val="22"/>
          <w:lang w:val="pl-PL"/>
        </w:rPr>
        <w:t>,</w:t>
      </w:r>
      <w:r>
        <w:rPr>
          <w:rFonts w:hint="default" w:ascii="Times New Roman" w:hAnsi="Times New Roman" w:cs="Times New Roman"/>
          <w:sz w:val="22"/>
          <w:szCs w:val="22"/>
        </w:rPr>
        <w:t xml:space="preserve"> na tablicy informacyjnej  w sołectwie</w:t>
      </w:r>
      <w:r>
        <w:rPr>
          <w:rFonts w:hint="default" w:ascii="Times New Roman" w:hAnsi="Times New Roman" w:cs="Times New Roman"/>
          <w:sz w:val="22"/>
          <w:szCs w:val="22"/>
          <w:lang w:val="pl-PL"/>
        </w:rPr>
        <w:t xml:space="preserve"> Gumienice oraz                  w Nadleśnictwie Piaski.</w:t>
      </w:r>
      <w:r>
        <w:rPr>
          <w:rFonts w:hint="default" w:ascii="Times New Roman" w:hAnsi="Times New Roman" w:cs="Times New Roman"/>
          <w:sz w:val="22"/>
          <w:szCs w:val="22"/>
        </w:rPr>
        <w:t xml:space="preserve"> </w:t>
      </w:r>
      <w:r>
        <w:rPr>
          <w:rFonts w:hint="default" w:ascii="Times New Roman" w:hAnsi="Times New Roman" w:cs="Times New Roman"/>
          <w:bCs/>
          <w:sz w:val="22"/>
          <w:szCs w:val="22"/>
        </w:rPr>
        <w:t xml:space="preserve">Nie wpłynęły </w:t>
      </w:r>
      <w:r>
        <w:rPr>
          <w:rFonts w:hint="default" w:ascii="Times New Roman" w:hAnsi="Times New Roman" w:cs="Times New Roman"/>
          <w:sz w:val="22"/>
          <w:szCs w:val="22"/>
        </w:rPr>
        <w:t>żadne wnioski ani  zastrzeżenia.</w:t>
      </w:r>
    </w:p>
    <w:p w14:paraId="355916FD">
      <w:pPr>
        <w:spacing w:after="200" w:line="240" w:lineRule="auto"/>
        <w:ind w:firstLine="567"/>
        <w:jc w:val="both"/>
        <w:rPr>
          <w:rFonts w:hint="default" w:ascii="Times New Roman" w:hAnsi="Times New Roman" w:cs="Times New Roman"/>
          <w:sz w:val="22"/>
          <w:szCs w:val="22"/>
        </w:rPr>
      </w:pPr>
      <w:r>
        <w:rPr>
          <w:rFonts w:hint="default" w:ascii="Times New Roman" w:hAnsi="Times New Roman" w:cs="Times New Roman"/>
          <w:kern w:val="1"/>
          <w:sz w:val="22"/>
          <w:szCs w:val="22"/>
        </w:rPr>
        <w:t>Biorąc pod uwagę kryteria wymienione w art. 63 ust. 1 ustawy z dnia 3 października 2008 r. o udostępnianiu informacji o środowisku i jego ochronie, udziale społeczeństwa w ochronie środowiska oraz o ocenach oddziaływania na środowisko (Dz. U. z 2024 r. poz. 1112), dalej ustawy ooś, przeanalizowano: rodzaj, skalę i cechy przedsięwzięcia, wielkość zajmowanego terenu, zakres robót związanych z jego realizacją, prawdopodobieństwo, czas trwania, zasięg oddziaływania, możliwości ograniczenia oddziaływania oraz odwracalność oddziaływania, powiązania z innymi przedsięwzięciami, a także wykorzystanie zasobów naturalnych, różnorodność biologiczną, emisję</w:t>
      </w:r>
      <w:r>
        <w:rPr>
          <w:rFonts w:hint="default" w:ascii="Times New Roman" w:hAnsi="Times New Roman" w:cs="Times New Roman"/>
          <w:kern w:val="1"/>
          <w:sz w:val="22"/>
          <w:szCs w:val="22"/>
          <w:lang w:val="pl-PL"/>
        </w:rPr>
        <w:t xml:space="preserve">                  </w:t>
      </w:r>
      <w:r>
        <w:rPr>
          <w:rFonts w:hint="default" w:ascii="Times New Roman" w:hAnsi="Times New Roman" w:cs="Times New Roman"/>
          <w:kern w:val="1"/>
          <w:sz w:val="22"/>
          <w:szCs w:val="22"/>
        </w:rPr>
        <w:t xml:space="preserve"> i uciążliwości związane z eksploatacją przedsięwzięcia, gęstość zaludnienia wokół przedsięwzięcia oraz usytuowanie przedsięwzięcia z uwzględnieniem możliwego zagrożenia dla środowiska m.in. względem obszarów objętych ochroną, w tym stref ochronnych ujęć wód i obszarów ochronnych zbiorników wód śródlądowych, obszarów wymagających specjalnej ochrony ze względu na występowanie gatunków roślin, grzybów i zwierząt, ich siedlisk lub siedlisk przyrodniczych objętych ochroną, w tym obszarów Natura 2000, a także wpływ na krajobraz</w:t>
      </w:r>
      <w:r>
        <w:rPr>
          <w:rFonts w:hint="default" w:ascii="Times New Roman" w:hAnsi="Times New Roman" w:cs="Times New Roman"/>
          <w:sz w:val="22"/>
          <w:szCs w:val="22"/>
        </w:rPr>
        <w:t>.</w:t>
      </w:r>
    </w:p>
    <w:p w14:paraId="74EED0DA">
      <w:pPr>
        <w:spacing w:after="200" w:line="240" w:lineRule="auto"/>
        <w:ind w:firstLine="540"/>
        <w:jc w:val="both"/>
        <w:rPr>
          <w:rFonts w:hint="default" w:ascii="Times New Roman" w:hAnsi="Times New Roman" w:cs="Times New Roman"/>
          <w:sz w:val="22"/>
          <w:szCs w:val="22"/>
        </w:rPr>
      </w:pPr>
      <w:r>
        <w:rPr>
          <w:rFonts w:hint="default" w:ascii="Times New Roman" w:hAnsi="Times New Roman" w:cs="Times New Roman"/>
          <w:spacing w:val="-4"/>
          <w:sz w:val="22"/>
          <w:szCs w:val="22"/>
        </w:rPr>
        <w:t xml:space="preserve">Odnosząc się do art. 63 ust. 1 pkt 1 lit. a ustawy ooś na podstawie k.i.p. ustalono, </w:t>
      </w:r>
      <w:r>
        <w:rPr>
          <w:rFonts w:hint="default" w:ascii="Times New Roman" w:hAnsi="Times New Roman" w:cs="Times New Roman"/>
          <w:spacing w:val="-4"/>
          <w:sz w:val="22"/>
          <w:szCs w:val="22"/>
        </w:rPr>
        <w:br w:type="textWrapping"/>
      </w:r>
      <w:r>
        <w:rPr>
          <w:rFonts w:hint="default" w:ascii="Times New Roman" w:hAnsi="Times New Roman" w:cs="Times New Roman"/>
          <w:spacing w:val="-4"/>
          <w:sz w:val="22"/>
          <w:szCs w:val="22"/>
        </w:rPr>
        <w:t xml:space="preserve">że planowane przedsięwzięcie będzie </w:t>
      </w:r>
      <w:r>
        <w:rPr>
          <w:rFonts w:hint="default" w:ascii="Times New Roman" w:hAnsi="Times New Roman" w:cs="Times New Roman"/>
          <w:sz w:val="22"/>
          <w:szCs w:val="22"/>
        </w:rPr>
        <w:t xml:space="preserve">polegać na budowie zespołu elektrowni fotowoltaicznych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o łącznej mocy do 6 MW wraz z niezbędną infrastrukturą techniczną z możliwością instalacji kontenerowych magazynów energii o łącznej mocy do 6 MW na dz. nr ewid. 205, 209 i 221 obręb Gumienice, gmina Pogorzela.</w:t>
      </w:r>
      <w:r>
        <w:rPr>
          <w:rFonts w:hint="default" w:ascii="Times New Roman" w:hAnsi="Times New Roman" w:cs="Times New Roman"/>
          <w:spacing w:val="-4"/>
          <w:sz w:val="22"/>
          <w:szCs w:val="22"/>
        </w:rPr>
        <w:t xml:space="preserve"> </w:t>
      </w:r>
      <w:r>
        <w:rPr>
          <w:rFonts w:hint="default" w:ascii="Times New Roman" w:hAnsi="Times New Roman" w:cs="Times New Roman"/>
          <w:kern w:val="1"/>
          <w:sz w:val="22"/>
          <w:szCs w:val="22"/>
        </w:rPr>
        <w:t>Planowane</w:t>
      </w:r>
      <w:r>
        <w:rPr>
          <w:rFonts w:hint="default" w:ascii="Times New Roman" w:hAnsi="Times New Roman" w:cs="Times New Roman"/>
          <w:color w:val="FF0000"/>
          <w:kern w:val="1"/>
          <w:sz w:val="22"/>
          <w:szCs w:val="22"/>
        </w:rPr>
        <w:t xml:space="preserve"> </w:t>
      </w:r>
      <w:r>
        <w:rPr>
          <w:rFonts w:hint="default" w:ascii="Times New Roman" w:hAnsi="Times New Roman" w:cs="Times New Roman"/>
          <w:kern w:val="1"/>
          <w:sz w:val="22"/>
          <w:szCs w:val="22"/>
        </w:rPr>
        <w:t xml:space="preserve">przedsięwzięcie zajmie całą powierzchnię przedmiotowych działek, która wynosi 4,19 ha. </w:t>
      </w:r>
      <w:r>
        <w:rPr>
          <w:rFonts w:hint="default" w:ascii="Times New Roman" w:hAnsi="Times New Roman" w:cs="Times New Roman"/>
          <w:kern w:val="1"/>
          <w:sz w:val="22"/>
          <w:szCs w:val="22"/>
          <w:lang w:val="pl-PL"/>
        </w:rPr>
        <w:t xml:space="preserve">Planowana inwestycja zakłada eksploatację zespołu elektrowni fotowoltaicznych o łącznej mocy do 6 MW, złożonej z maksymalnie 2500 modułów. </w:t>
      </w:r>
      <w:r>
        <w:rPr>
          <w:rFonts w:hint="default" w:ascii="Times New Roman" w:hAnsi="Times New Roman" w:eastAsia="Calibri" w:cs="Times New Roman"/>
          <w:sz w:val="22"/>
          <w:szCs w:val="22"/>
          <w:lang w:eastAsia="ar-SA"/>
        </w:rPr>
        <w:t xml:space="preserve"> Panele zostaną posadowione na lekkiej konstrukcji montażowej, z pionowych słupów stalowych lub aluminiowych.</w:t>
      </w:r>
      <w:r>
        <w:rPr>
          <w:rFonts w:hint="default" w:ascii="Times New Roman" w:hAnsi="Times New Roman" w:eastAsia="Calibri" w:cs="Times New Roman"/>
          <w:color w:val="FF0000"/>
          <w:sz w:val="22"/>
          <w:szCs w:val="22"/>
          <w:lang w:eastAsia="ar-SA"/>
        </w:rPr>
        <w:t xml:space="preserve"> </w:t>
      </w:r>
      <w:r>
        <w:rPr>
          <w:rFonts w:hint="default" w:ascii="Times New Roman" w:hAnsi="Times New Roman" w:eastAsia="Arial Narrow" w:cs="Times New Roman"/>
          <w:sz w:val="22"/>
          <w:szCs w:val="22"/>
        </w:rPr>
        <w:t>Wnioskodawca planuje zainstalowanie</w:t>
      </w:r>
      <w:r>
        <w:rPr>
          <w:rFonts w:hint="default" w:ascii="Times New Roman" w:hAnsi="Times New Roman" w:eastAsia="Arial Narrow" w:cs="Times New Roman"/>
          <w:color w:val="FF0000"/>
          <w:sz w:val="22"/>
          <w:szCs w:val="22"/>
        </w:rPr>
        <w:t xml:space="preserve"> </w:t>
      </w:r>
      <w:r>
        <w:rPr>
          <w:rFonts w:hint="default" w:ascii="Times New Roman" w:hAnsi="Times New Roman" w:eastAsia="Arial Narrow" w:cs="Times New Roman"/>
          <w:sz w:val="22"/>
          <w:szCs w:val="22"/>
        </w:rPr>
        <w:t>do 18 sztuk</w:t>
      </w:r>
      <w:r>
        <w:rPr>
          <w:rFonts w:hint="default" w:ascii="Times New Roman" w:hAnsi="Times New Roman" w:eastAsia="Arial Narrow" w:cs="Times New Roman"/>
          <w:color w:val="FF0000"/>
          <w:sz w:val="22"/>
          <w:szCs w:val="22"/>
        </w:rPr>
        <w:t xml:space="preserve"> </w:t>
      </w:r>
      <w:r>
        <w:rPr>
          <w:rFonts w:hint="default" w:ascii="Times New Roman" w:hAnsi="Times New Roman" w:eastAsia="Arial Narrow" w:cs="Times New Roman"/>
          <w:sz w:val="22"/>
          <w:szCs w:val="22"/>
        </w:rPr>
        <w:t>inwerterów oraz</w:t>
      </w:r>
      <w:r>
        <w:rPr>
          <w:rFonts w:hint="default" w:ascii="Times New Roman" w:hAnsi="Times New Roman" w:eastAsia="Arial Narrow" w:cs="Times New Roman"/>
          <w:color w:val="FF0000"/>
          <w:sz w:val="22"/>
          <w:szCs w:val="22"/>
        </w:rPr>
        <w:t> </w:t>
      </w:r>
      <w:r>
        <w:rPr>
          <w:rFonts w:hint="default" w:ascii="Times New Roman" w:hAnsi="Times New Roman" w:eastAsia="Arial Narrow" w:cs="Times New Roman"/>
          <w:sz w:val="22"/>
          <w:szCs w:val="22"/>
        </w:rPr>
        <w:t>posadowienie do 3 sztuk kontenerowych stacji transformatorowych, w których usytuowane będą: rozdzielnica niskiego napięcia, transformator, rozdzielnica średniego napięcia, szafki pomiarowe i teletechniczne.</w:t>
      </w:r>
      <w:r>
        <w:rPr>
          <w:rFonts w:hint="default" w:ascii="Times New Roman" w:hAnsi="Times New Roman" w:eastAsia="Arial Narrow" w:cs="Times New Roman"/>
          <w:color w:val="FF0000"/>
          <w:sz w:val="22"/>
          <w:szCs w:val="22"/>
        </w:rPr>
        <w:t xml:space="preserve"> </w:t>
      </w:r>
      <w:r>
        <w:rPr>
          <w:rFonts w:hint="default" w:ascii="Times New Roman" w:hAnsi="Times New Roman" w:eastAsia="Arial Narrow" w:cs="Times New Roman"/>
          <w:sz w:val="22"/>
          <w:szCs w:val="22"/>
        </w:rPr>
        <w:t>Ponadto w skład infrastruktury technicznej wejdą: okablowanie, ogrodzenie, monitoring wizyjny, system alarmowy.</w:t>
      </w:r>
      <w:r>
        <w:rPr>
          <w:rFonts w:hint="default" w:ascii="Times New Roman" w:hAnsi="Times New Roman" w:eastAsia="Arial Narrow" w:cs="Times New Roman"/>
          <w:color w:val="FF0000"/>
          <w:sz w:val="22"/>
          <w:szCs w:val="22"/>
        </w:rPr>
        <w:t xml:space="preserve"> </w:t>
      </w:r>
      <w:r>
        <w:rPr>
          <w:rFonts w:hint="default" w:ascii="Times New Roman" w:hAnsi="Times New Roman" w:eastAsia="Arial Narrow" w:cs="Times New Roman"/>
          <w:sz w:val="22"/>
          <w:szCs w:val="22"/>
        </w:rPr>
        <w:t>W przypadku przedmiotowego przedsięwzięcia planuje się również posadowienie</w:t>
      </w:r>
      <w:r>
        <w:rPr>
          <w:rFonts w:hint="default" w:ascii="Times New Roman" w:hAnsi="Times New Roman" w:eastAsia="Arial Narrow" w:cs="Times New Roman"/>
          <w:color w:val="FF0000"/>
          <w:sz w:val="22"/>
          <w:szCs w:val="22"/>
        </w:rPr>
        <w:t xml:space="preserve"> </w:t>
      </w:r>
      <w:r>
        <w:rPr>
          <w:rFonts w:hint="default" w:ascii="Times New Roman" w:hAnsi="Times New Roman" w:eastAsia="Arial Narrow" w:cs="Times New Roman"/>
          <w:sz w:val="22"/>
          <w:szCs w:val="22"/>
        </w:rPr>
        <w:t>do 12 sztuk</w:t>
      </w:r>
      <w:r>
        <w:rPr>
          <w:rFonts w:hint="default" w:ascii="Times New Roman" w:hAnsi="Times New Roman" w:eastAsia="Arial Narrow" w:cs="Times New Roman"/>
          <w:color w:val="FF0000"/>
          <w:sz w:val="22"/>
          <w:szCs w:val="22"/>
        </w:rPr>
        <w:t xml:space="preserve"> </w:t>
      </w:r>
      <w:r>
        <w:rPr>
          <w:rFonts w:hint="default" w:ascii="Times New Roman" w:hAnsi="Times New Roman" w:eastAsia="Arial Narrow" w:cs="Times New Roman"/>
          <w:sz w:val="22"/>
          <w:szCs w:val="22"/>
        </w:rPr>
        <w:t>kontenerowych</w:t>
      </w:r>
      <w:r>
        <w:rPr>
          <w:rFonts w:hint="default" w:ascii="Times New Roman" w:hAnsi="Times New Roman" w:eastAsia="Arial Narrow" w:cs="Times New Roman"/>
          <w:color w:val="FF0000"/>
          <w:sz w:val="22"/>
          <w:szCs w:val="22"/>
        </w:rPr>
        <w:t xml:space="preserve"> </w:t>
      </w:r>
      <w:r>
        <w:rPr>
          <w:rFonts w:hint="default" w:ascii="Times New Roman" w:hAnsi="Times New Roman" w:eastAsia="Arial Narrow" w:cs="Times New Roman"/>
          <w:sz w:val="22"/>
          <w:szCs w:val="22"/>
        </w:rPr>
        <w:t>magazynów energii wraz z 3 kontenerowymi stacjami transformatorowymi, wyposażonych w baterie elektrochemiczne umieszczone w szczelnych kasetach.</w:t>
      </w:r>
    </w:p>
    <w:p w14:paraId="2D3B44AD">
      <w:pPr>
        <w:spacing w:before="200" w:after="20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Biorąc pod uwagę rodzaj, skalę i cechy przedmiotowego przedsięwzięcia, uwzględniając fakt, iż na terenie inwestycji nie będę występowały zorganizowane źródła emisji substancji do powietrza, odnosząc się do zapisów art. 63 ust. 1 pkt 1 lit. d ustawy ooś, nie przewiduje się jej wpływu na stan jakości powietrza w rejonie zainwestowania. Źródłem emisji o charakterze niezorganizowanym będą procesy spalania paliw w silnikach pojazdów poruszających się po terenie przedsięwzięcia, jednakże serwisowanie farmy w fazie eksploatacji i ruch pojazdów z tym związany będzie miał znikomy wpływ na jakość powietrza. Na etapie realizacji przedsięwzięcia, źródłem emisji substancji do powietrza będą procesy spalania paliw w silnikach pojazdów pracujących na placu budowy. Będzie to jednak oddziaływanie okresowe i ustanie po zakończeniu prac budowlanych.</w:t>
      </w:r>
    </w:p>
    <w:p w14:paraId="52288784">
      <w:pPr>
        <w:spacing w:after="200" w:line="240" w:lineRule="auto"/>
        <w:ind w:firstLine="540"/>
        <w:jc w:val="both"/>
        <w:rPr>
          <w:rFonts w:hint="default" w:ascii="Times New Roman" w:hAnsi="Times New Roman" w:cs="Times New Roman"/>
          <w:color w:val="FF0000"/>
          <w:sz w:val="22"/>
          <w:szCs w:val="22"/>
          <w:shd w:val="clear" w:color="auto" w:fill="FFFFFF"/>
        </w:rPr>
      </w:pPr>
      <w:r>
        <w:rPr>
          <w:rFonts w:hint="default" w:ascii="Times New Roman" w:hAnsi="Times New Roman" w:cs="Times New Roman"/>
          <w:sz w:val="22"/>
          <w:szCs w:val="22"/>
        </w:rPr>
        <w:t>Odnosząc się do art. 63 ust. 1 pkt 3 lit. a, c, d oraz e ustawy ooś ustalono,</w:t>
      </w:r>
      <w:r>
        <w:rPr>
          <w:rFonts w:hint="default" w:ascii="Times New Roman" w:hAnsi="Times New Roman" w:cs="Times New Roman"/>
          <w:sz w:val="22"/>
          <w:szCs w:val="22"/>
        </w:rPr>
        <w:br w:type="textWrapping"/>
      </w:r>
      <w:r>
        <w:rPr>
          <w:rFonts w:hint="default" w:ascii="Times New Roman" w:hAnsi="Times New Roman" w:cs="Times New Roman"/>
          <w:sz w:val="22"/>
          <w:szCs w:val="22"/>
        </w:rPr>
        <w:t>że</w:t>
      </w:r>
      <w:r>
        <w:rPr>
          <w:rFonts w:hint="default" w:ascii="Times New Roman" w:hAnsi="Times New Roman" w:cs="Times New Roman"/>
          <w:sz w:val="22"/>
          <w:szCs w:val="22"/>
          <w:lang w:eastAsia="en-US"/>
        </w:rPr>
        <w:t xml:space="preserve"> przedsięwzięcie zaplanowano do realizacji na gruntach klasy RIVa i RIVb</w:t>
      </w:r>
      <w:r>
        <w:rPr>
          <w:rFonts w:hint="default" w:ascii="Times New Roman" w:hAnsi="Times New Roman" w:cs="Times New Roman"/>
          <w:sz w:val="22"/>
          <w:szCs w:val="22"/>
        </w:rPr>
        <w:t>.</w:t>
      </w:r>
      <w:r>
        <w:rPr>
          <w:rFonts w:hint="default" w:ascii="Times New Roman" w:hAnsi="Times New Roman" w:cs="Times New Roman"/>
          <w:color w:val="FF0000"/>
          <w:sz w:val="22"/>
          <w:szCs w:val="22"/>
          <w:lang w:eastAsia="en-US"/>
        </w:rPr>
        <w:t xml:space="preserve"> </w:t>
      </w:r>
      <w:r>
        <w:rPr>
          <w:rFonts w:hint="default" w:ascii="Times New Roman" w:hAnsi="Times New Roman" w:cs="Times New Roman"/>
          <w:sz w:val="22"/>
          <w:szCs w:val="22"/>
          <w:lang w:eastAsia="en-US"/>
        </w:rPr>
        <w:t>Na podstawie ogólnodostępnych danych przestrzennych oraz k.i.p. ustalono, że najbliższe tereny chronione akustycznie znajdują się w odległości ponad 250 m na wschód od terenu planowanego przedsięwzięcia. W oparciu o k.i.p. ustalono, że </w:t>
      </w:r>
      <w:r>
        <w:rPr>
          <w:rFonts w:hint="default" w:ascii="Times New Roman" w:hAnsi="Times New Roman" w:cs="Times New Roman"/>
          <w:sz w:val="22"/>
          <w:szCs w:val="22"/>
        </w:rPr>
        <w:t>źródłem emisji hałasu na etapie realizacji przedsięwzięcia będą przede wszystkim urządzenia montażowe oraz pojazdy poruszające się po terenie zainwestowania. Wszelkie prace oraz ruch pojazdów zostaną ograniczone do pory dnia, co wpisano w warunkach niniejszego postanowienia. Będą to krótkotrwałe i odwracalne uciążliwości. Analiza k.i.p. wykazała, iż głównym emitorem hałasu na etapie eksploatacji będą inwertery, transformatory oraz magazyny energii. Inwertery zostaną rozmieszczone</w:t>
      </w:r>
      <w:r>
        <w:rPr>
          <w:rFonts w:hint="default" w:ascii="Times New Roman" w:hAnsi="Times New Roman" w:cs="Times New Roman"/>
          <w:color w:val="FF0000"/>
          <w:sz w:val="22"/>
          <w:szCs w:val="22"/>
        </w:rPr>
        <w:t xml:space="preserve"> </w:t>
      </w:r>
      <w:r>
        <w:rPr>
          <w:rFonts w:hint="default" w:ascii="Times New Roman" w:hAnsi="Times New Roman" w:cs="Times New Roman"/>
          <w:sz w:val="22"/>
          <w:szCs w:val="22"/>
        </w:rPr>
        <w:t>w ilości do 18 sztuk, przy czym poziom mocy akustycznej każdego inwertera nie przekroczy 65 dB. Transformatory o poziomie mocy akustycznej do 80 dB każdy zostaną posadowione w kontenerowych stacjach transformatorowych.</w:t>
      </w:r>
      <w:r>
        <w:rPr>
          <w:rFonts w:hint="default" w:ascii="Times New Roman" w:hAnsi="Times New Roman" w:cs="Times New Roman"/>
          <w:color w:val="FF0000"/>
          <w:sz w:val="22"/>
          <w:szCs w:val="22"/>
        </w:rPr>
        <w:t xml:space="preserve"> </w:t>
      </w:r>
      <w:r>
        <w:rPr>
          <w:rFonts w:hint="default" w:ascii="Times New Roman" w:hAnsi="Times New Roman" w:cs="Times New Roman"/>
          <w:sz w:val="22"/>
          <w:szCs w:val="22"/>
        </w:rPr>
        <w:t xml:space="preserve">Na terenie przedsięwzięcia usytuowanych zostanie do 3 sztuk stacji transformatorowych oraz do 12 sztuk kontenerowych magazynów energii o maksymalnej mocy akustycznej każdego magazynu 75 dB wraz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z 3 kontenerowymi stacjami transformatorowymi o poziomie mocy akustycznej 80 dB każdy.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Z przedstawionych w k.i.p. obliczeń akustycznych wynika, że na najbliższych terenach chronionych akustycznie zostaną dotrzymane dopuszczalne poziomy hałasu w rozumieniu rozporządzenia Ministra Środowiska z dnia 14 czerwca 2007 r. w sprawie dopuszczalnych poziomów hałasu w środowisku (Dz.U. z 2014 r., poz. 112). Biorąc powyższe pod uwagę, w szczególności rodzaj i parametry przedsięwzięcia, jego stosunkowo niewielką skalę oraz przyjęte rozwiązania techniczne, posadowienie transformatorów i magazynów energii w zabudowie kontenerowej, a także znaczną odległość od najbliższych terenów chronionych akustycznie, nie przewiduje się, aby realizacja i eksploatacja przedsięwzięcia mogła wiązać się z przekroczeniami dopuszczalnych poziomów hałasu w środowisku, określonych w przepisach szczegółowych</w:t>
      </w:r>
      <w:r>
        <w:rPr>
          <w:rFonts w:hint="default" w:ascii="Times New Roman" w:hAnsi="Times New Roman" w:cs="Times New Roman"/>
          <w:sz w:val="22"/>
          <w:szCs w:val="22"/>
          <w:shd w:val="clear" w:color="auto" w:fill="FFFFFF"/>
        </w:rPr>
        <w:t>.</w:t>
      </w:r>
    </w:p>
    <w:p w14:paraId="5D4AAA1B">
      <w:pPr>
        <w:spacing w:after="200" w:line="240" w:lineRule="auto"/>
        <w:ind w:firstLine="567"/>
        <w:jc w:val="both"/>
        <w:rPr>
          <w:rFonts w:hint="default" w:ascii="Times New Roman" w:hAnsi="Times New Roman" w:cs="Times New Roman"/>
          <w:bCs/>
          <w:sz w:val="22"/>
          <w:szCs w:val="22"/>
        </w:rPr>
      </w:pPr>
      <w:r>
        <w:rPr>
          <w:rFonts w:hint="default" w:ascii="Times New Roman" w:hAnsi="Times New Roman" w:cs="Times New Roman"/>
          <w:sz w:val="22"/>
          <w:szCs w:val="22"/>
        </w:rPr>
        <w:t xml:space="preserve">Uwzględniając przyjęte rozwiązania techniczne, w tym napięcia infrastruktury energetycznej, nie przewiduje się, aby eksploatacja przedsięwzięcia mogła powodować przekroczenie dopuszczalnych poziomów pól elektromagnetycznych w środowisku określonych w </w:t>
      </w:r>
      <w:r>
        <w:rPr>
          <w:rFonts w:hint="default" w:ascii="Times New Roman" w:hAnsi="Times New Roman" w:cs="Times New Roman"/>
          <w:bCs/>
          <w:sz w:val="22"/>
          <w:szCs w:val="22"/>
        </w:rPr>
        <w:t>rozporządzeniu Ministra Zdrowia z dnia 17 grudnia 2019 r. w sprawie dopuszczalnych poziomów pól elektromagnetycznych w środowisku (Dz. U. poz. 2448).</w:t>
      </w:r>
    </w:p>
    <w:p w14:paraId="067F0833">
      <w:pPr>
        <w:spacing w:after="200" w:line="240" w:lineRule="auto"/>
        <w:ind w:firstLine="540"/>
        <w:jc w:val="both"/>
        <w:rPr>
          <w:rFonts w:hint="default" w:ascii="Times New Roman" w:hAnsi="Times New Roman" w:cs="Times New Roman"/>
          <w:sz w:val="22"/>
          <w:szCs w:val="22"/>
          <w:lang w:eastAsia="en-US"/>
        </w:rPr>
      </w:pPr>
      <w:r>
        <w:rPr>
          <w:rFonts w:hint="default" w:ascii="Times New Roman" w:hAnsi="Times New Roman" w:cs="Times New Roman"/>
          <w:sz w:val="22"/>
          <w:szCs w:val="22"/>
        </w:rPr>
        <w:t xml:space="preserve">Uwzględniając zapisy art. 63 ust. 1 pkt 1 lit. b oraz pkt 3 lit. f ustawy ooś z k.i.p. wynika, że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w sąsiedztwie planowanego przedsięwzięcia nie ustalono realizowanych ani zrealizowanych przedsięwzięć, </w:t>
      </w:r>
      <w:r>
        <w:rPr>
          <w:rFonts w:hint="default" w:ascii="Times New Roman" w:hAnsi="Times New Roman" w:eastAsia="Calibri" w:cs="Times New Roman"/>
          <w:sz w:val="22"/>
          <w:szCs w:val="22"/>
          <w:lang w:eastAsia="en-US"/>
        </w:rPr>
        <w:t>które swym oddziaływaniem mogłyby skumulować się z potencjalnym oddziaływaniem planowanej farmy fotowoltaicznej</w:t>
      </w:r>
      <w:r>
        <w:rPr>
          <w:rFonts w:hint="default" w:ascii="Times New Roman" w:hAnsi="Times New Roman" w:cs="Times New Roman"/>
          <w:sz w:val="22"/>
          <w:szCs w:val="22"/>
        </w:rPr>
        <w:t xml:space="preserve">. Najbliższa inna elektrownia słoneczna planowana jest do realizacji w odległości 3,5 km. </w:t>
      </w:r>
      <w:r>
        <w:rPr>
          <w:rFonts w:hint="default" w:ascii="Times New Roman" w:hAnsi="Times New Roman" w:eastAsia="Calibri" w:cs="Times New Roman"/>
          <w:sz w:val="22"/>
          <w:szCs w:val="22"/>
          <w:lang w:eastAsia="en-US"/>
        </w:rPr>
        <w:t xml:space="preserve">Biorąc pod uwagę rodzaj przedsięwzięcia i realizację zgodnie </w:t>
      </w:r>
      <w:r>
        <w:rPr>
          <w:rFonts w:hint="default" w:ascii="Times New Roman" w:hAnsi="Times New Roman" w:eastAsia="Calibri" w:cs="Times New Roman"/>
          <w:sz w:val="22"/>
          <w:szCs w:val="22"/>
          <w:lang w:val="pl-PL" w:eastAsia="en-US"/>
        </w:rPr>
        <w:t xml:space="preserve">  </w:t>
      </w:r>
      <w:r>
        <w:rPr>
          <w:rFonts w:hint="default" w:ascii="Times New Roman" w:hAnsi="Times New Roman" w:eastAsia="Calibri" w:cs="Times New Roman"/>
          <w:sz w:val="22"/>
          <w:szCs w:val="22"/>
          <w:lang w:eastAsia="en-US"/>
        </w:rPr>
        <w:t xml:space="preserve">z warunkami wskazanymi w niniejszej </w:t>
      </w:r>
      <w:r>
        <w:rPr>
          <w:rFonts w:hint="default" w:ascii="Times New Roman" w:hAnsi="Times New Roman" w:eastAsia="Calibri" w:cs="Times New Roman"/>
          <w:sz w:val="22"/>
          <w:szCs w:val="22"/>
          <w:lang w:val="pl-PL" w:eastAsia="en-US"/>
        </w:rPr>
        <w:t>decyzji</w:t>
      </w:r>
      <w:r>
        <w:rPr>
          <w:rFonts w:hint="default" w:ascii="Times New Roman" w:hAnsi="Times New Roman" w:eastAsia="Calibri" w:cs="Times New Roman"/>
          <w:sz w:val="22"/>
          <w:szCs w:val="22"/>
          <w:lang w:eastAsia="en-US"/>
        </w:rPr>
        <w:t>, nie przewiduje się powiązań z innymi przedsięwzięciami, w szczególności oddziaływania skumulowanego prowadzącego do przekroczenia standardów jakości środowiska</w:t>
      </w:r>
      <w:r>
        <w:rPr>
          <w:rFonts w:hint="default" w:ascii="Times New Roman" w:hAnsi="Times New Roman" w:cs="Times New Roman"/>
          <w:sz w:val="22"/>
          <w:szCs w:val="22"/>
        </w:rPr>
        <w:t>.</w:t>
      </w:r>
    </w:p>
    <w:p w14:paraId="37ED07C7">
      <w:pPr>
        <w:spacing w:after="20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FFFFF"/>
        </w:rPr>
        <w:t xml:space="preserve">W związku z przepisami art. 63 ust. 1 pkt 1 lit. e ustawy ooś, dotyczącymi ryzyka wystąpienia poważnej awarii, katastrof naturalnych i budowlanych, biorąc pod uwagę rodzaj planowanego przedsięwzięcia, przy uwzględnieniu używanych substancji i stosowanych technologii, należy stwierdzić, że nie należy ono do zakładów o dużym lub zwiększonym ryzyku wystąpienia poważnej awarii określonych w Rozporządzeniu Ministra Rozwoju z dnia 29 stycznia 2016 r. </w:t>
      </w:r>
      <w:r>
        <w:rPr>
          <w:rFonts w:hint="default" w:ascii="Times New Roman" w:hAnsi="Times New Roman" w:cs="Times New Roman"/>
          <w:sz w:val="22"/>
          <w:szCs w:val="22"/>
          <w:shd w:val="clear" w:color="auto" w:fill="FFFFFF"/>
          <w:lang w:val="pl-PL"/>
        </w:rPr>
        <w:t xml:space="preserve">             </w:t>
      </w:r>
      <w:r>
        <w:rPr>
          <w:rFonts w:hint="default" w:ascii="Times New Roman" w:hAnsi="Times New Roman" w:cs="Times New Roman"/>
          <w:sz w:val="22"/>
          <w:szCs w:val="22"/>
          <w:shd w:val="clear" w:color="auto" w:fill="FFFFFF"/>
        </w:rPr>
        <w:t xml:space="preserve">w sprawie rodzajów i ilości znajdujących się w zakładzie substancji niebezpiecznych, decydujących </w:t>
      </w:r>
      <w:r>
        <w:rPr>
          <w:rFonts w:hint="default" w:ascii="Times New Roman" w:hAnsi="Times New Roman" w:cs="Times New Roman"/>
          <w:sz w:val="22"/>
          <w:szCs w:val="22"/>
          <w:shd w:val="clear" w:color="auto" w:fill="FFFFFF"/>
          <w:lang w:val="pl-PL"/>
        </w:rPr>
        <w:t xml:space="preserve">   </w:t>
      </w:r>
      <w:r>
        <w:rPr>
          <w:rFonts w:hint="default" w:ascii="Times New Roman" w:hAnsi="Times New Roman" w:cs="Times New Roman"/>
          <w:sz w:val="22"/>
          <w:szCs w:val="22"/>
          <w:shd w:val="clear" w:color="auto" w:fill="FFFFFF"/>
        </w:rPr>
        <w:t xml:space="preserve">o zaliczeniu zakładu do zakładu o zwiększonym lub dużym ryzyku wystąpienia poważnej awarii przemysłowej (Dz. U. z 2016 r. poz. 138). Ponadto uwzględniając realizację i eksploatację przedsięwzięcia zgodnie z obowiązującymi normami i przepisami, ryzyko wystąpienia katastrof budowlanych będzie ograniczone. Teren planowanego przedsięwzięcia nie jest położony w strefie zagrożenia powodziowego, w strefie zagrożonej możliwością wystąpienia osuwisk, ruchów skorupy ziemskiej, klimatycznych i możliwych zdarzeń ekstremalnych. Przyjęte rozwiązania techniczne, </w:t>
      </w:r>
      <w:r>
        <w:rPr>
          <w:rFonts w:hint="default" w:ascii="Times New Roman" w:hAnsi="Times New Roman" w:cs="Times New Roman"/>
          <w:sz w:val="22"/>
          <w:szCs w:val="22"/>
          <w:shd w:val="clear" w:color="auto" w:fill="FFFFFF"/>
          <w:lang w:val="pl-PL"/>
        </w:rPr>
        <w:t xml:space="preserve">        </w:t>
      </w:r>
      <w:r>
        <w:rPr>
          <w:rFonts w:hint="default" w:ascii="Times New Roman" w:hAnsi="Times New Roman" w:cs="Times New Roman"/>
          <w:sz w:val="22"/>
          <w:szCs w:val="22"/>
          <w:shd w:val="clear" w:color="auto" w:fill="FFFFFF"/>
        </w:rPr>
        <w:t>w tym konstrukcja paneli</w:t>
      </w:r>
      <w:r>
        <w:rPr>
          <w:rFonts w:hint="default" w:ascii="Times New Roman" w:hAnsi="Times New Roman" w:cs="Times New Roman"/>
          <w:color w:val="FF0000"/>
          <w:sz w:val="22"/>
          <w:szCs w:val="22"/>
          <w:shd w:val="clear" w:color="auto" w:fill="FFFFFF"/>
        </w:rPr>
        <w:t xml:space="preserve"> </w:t>
      </w:r>
      <w:r>
        <w:rPr>
          <w:rFonts w:hint="default" w:ascii="Times New Roman" w:hAnsi="Times New Roman" w:cs="Times New Roman"/>
          <w:sz w:val="22"/>
          <w:szCs w:val="22"/>
          <w:shd w:val="clear" w:color="auto" w:fill="FFFFFF"/>
        </w:rPr>
        <w:t>oraz zastosowane materiały</w:t>
      </w:r>
      <w:r>
        <w:rPr>
          <w:rFonts w:hint="default" w:ascii="Times New Roman" w:hAnsi="Times New Roman" w:cs="Times New Roman"/>
          <w:color w:val="FF0000"/>
          <w:sz w:val="22"/>
          <w:szCs w:val="22"/>
          <w:shd w:val="clear" w:color="auto" w:fill="FFFFFF"/>
        </w:rPr>
        <w:t xml:space="preserve"> </w:t>
      </w:r>
      <w:r>
        <w:rPr>
          <w:rFonts w:hint="default" w:ascii="Times New Roman" w:hAnsi="Times New Roman" w:cs="Times New Roman"/>
          <w:sz w:val="22"/>
          <w:szCs w:val="22"/>
          <w:shd w:val="clear" w:color="auto" w:fill="FFFFFF"/>
        </w:rPr>
        <w:t>ograniczą wrażliwość przedsięwzięcia na zmiany klimatu. Ponadto przedsięwzięcie przyczyni się do zwiększenia produkcji energii odnawialnej, a tym samym do zmniejszenia emisji zanieczyszczeń do atmosfery z innych źródeł, co wpłynie na mitygację zmian klimatu.</w:t>
      </w:r>
    </w:p>
    <w:p w14:paraId="1ACA2165">
      <w:pPr>
        <w:spacing w:after="200" w:line="240" w:lineRule="auto"/>
        <w:ind w:firstLine="567"/>
        <w:jc w:val="both"/>
        <w:rPr>
          <w:rFonts w:hint="default" w:ascii="Times New Roman" w:hAnsi="Times New Roman" w:cs="Times New Roman"/>
          <w:sz w:val="22"/>
          <w:szCs w:val="22"/>
          <w:shd w:val="clear" w:color="auto" w:fill="FFFFFF"/>
        </w:rPr>
      </w:pPr>
      <w:r>
        <w:rPr>
          <w:rFonts w:hint="default" w:ascii="Times New Roman" w:hAnsi="Times New Roman" w:cs="Times New Roman"/>
          <w:sz w:val="22"/>
          <w:szCs w:val="22"/>
          <w:shd w:val="clear" w:color="auto" w:fill="FFFFFF"/>
        </w:rPr>
        <w:t>Analizując kryteria wskazane w art. 63 ust. 1 pkt 3 lit. g ustawy ooś, na podstawie k.i.p. stwierdzono, że eksploatacja planowanego przedsięwzięcia nie będzie wiązała się ze stałym zapotrzebowaniem na wodę ani koniecznością odprowadzania ścieków. Projektowana elektrownia fotowoltaiczna będzie obiektem bezobsługowym.</w:t>
      </w:r>
      <w:r>
        <w:rPr>
          <w:rFonts w:hint="default" w:ascii="Times New Roman" w:hAnsi="Times New Roman" w:eastAsia="Calibri" w:cs="Times New Roman"/>
          <w:sz w:val="22"/>
          <w:szCs w:val="22"/>
          <w:shd w:val="clear" w:color="auto" w:fill="FFFFFF"/>
          <w:lang w:eastAsia="en-US"/>
        </w:rPr>
        <w:t xml:space="preserve"> </w:t>
      </w:r>
      <w:r>
        <w:rPr>
          <w:rFonts w:hint="default" w:ascii="Times New Roman" w:hAnsi="Times New Roman" w:cs="Times New Roman"/>
          <w:sz w:val="22"/>
          <w:szCs w:val="22"/>
          <w:shd w:val="clear" w:color="auto" w:fill="FFFFFF"/>
        </w:rPr>
        <w:t>Zgodnie z treścią k.i.p. mycie paneli fotowoltaicznych przeprowadzane będzie przy użyciu myjek mechanicznych lub ręcznych oraz czystej wody,</w:t>
      </w:r>
      <w:r>
        <w:rPr>
          <w:rFonts w:hint="default" w:ascii="Times New Roman" w:hAnsi="Times New Roman" w:cs="Times New Roman"/>
          <w:color w:val="FF0000"/>
          <w:sz w:val="22"/>
          <w:szCs w:val="22"/>
          <w:shd w:val="clear" w:color="auto" w:fill="FFFFFF"/>
        </w:rPr>
        <w:t xml:space="preserve"> </w:t>
      </w:r>
      <w:r>
        <w:rPr>
          <w:rFonts w:hint="default" w:ascii="Times New Roman" w:hAnsi="Times New Roman" w:cs="Times New Roman"/>
          <w:sz w:val="22"/>
          <w:szCs w:val="22"/>
          <w:shd w:val="clear" w:color="auto" w:fill="FFFFFF"/>
        </w:rPr>
        <w:t>bez zastosowania jakichkolwiek środków chemicznych.</w:t>
      </w:r>
      <w:r>
        <w:rPr>
          <w:rFonts w:hint="default" w:ascii="Times New Roman" w:hAnsi="Times New Roman" w:cs="Times New Roman"/>
          <w:color w:val="FF0000"/>
          <w:sz w:val="22"/>
          <w:szCs w:val="22"/>
          <w:shd w:val="clear" w:color="auto" w:fill="FFFFFF"/>
        </w:rPr>
        <w:t> </w:t>
      </w:r>
      <w:r>
        <w:rPr>
          <w:rFonts w:hint="default" w:ascii="Times New Roman" w:hAnsi="Times New Roman" w:cs="Times New Roman"/>
          <w:sz w:val="22"/>
          <w:szCs w:val="22"/>
          <w:shd w:val="clear" w:color="auto" w:fill="FFFFFF"/>
        </w:rPr>
        <w:t xml:space="preserve">Wody opadowe i roztopowe nie będą ujmowane w systemy kanalizacyjne lecz będą infiltrować w grunt w obrębie przedmiotowego terenu. W przypadku zastosowania transformatorów olejowych zamontowana zostanie pod każdym </w:t>
      </w:r>
      <w:r>
        <w:rPr>
          <w:rFonts w:hint="default" w:ascii="Times New Roman" w:hAnsi="Times New Roman" w:cs="Times New Roman"/>
          <w:sz w:val="22"/>
          <w:szCs w:val="22"/>
          <w:shd w:val="clear" w:color="auto" w:fill="FFFFFF"/>
          <w:lang w:val="pl-PL"/>
        </w:rPr>
        <w:t xml:space="preserve">   </w:t>
      </w:r>
      <w:r>
        <w:rPr>
          <w:rFonts w:hint="default" w:ascii="Times New Roman" w:hAnsi="Times New Roman" w:cs="Times New Roman"/>
          <w:sz w:val="22"/>
          <w:szCs w:val="22"/>
          <w:shd w:val="clear" w:color="auto" w:fill="FFFFFF"/>
        </w:rPr>
        <w:t xml:space="preserve">z nich szczelna misa, mogąca zmagazynować całą objętość oleju oraz pozostałości po ewentualnej akcji gaśniczej. Przyjęte przez Wnioskodawcę rozwiązania ograniczające potencjalny negatywny wpływ na środowisko gruntowo-wodne, zostały zawarte w warunkach wskazanych w niniejszej </w:t>
      </w:r>
      <w:r>
        <w:rPr>
          <w:rFonts w:hint="default" w:ascii="Times New Roman" w:hAnsi="Times New Roman" w:cs="Times New Roman"/>
          <w:sz w:val="22"/>
          <w:szCs w:val="22"/>
          <w:shd w:val="clear" w:color="auto" w:fill="FFFFFF"/>
          <w:lang w:val="pl-PL"/>
        </w:rPr>
        <w:t>decyzji</w:t>
      </w:r>
      <w:r>
        <w:rPr>
          <w:rFonts w:hint="default" w:ascii="Times New Roman" w:hAnsi="Times New Roman" w:cs="Times New Roman"/>
          <w:sz w:val="22"/>
          <w:szCs w:val="22"/>
          <w:shd w:val="clear" w:color="auto" w:fill="FFFFFF"/>
        </w:rPr>
        <w:t>.</w:t>
      </w:r>
      <w:r>
        <w:rPr>
          <w:rFonts w:hint="default" w:ascii="Times New Roman" w:hAnsi="Times New Roman" w:eastAsia="Luxi Sans" w:cs="Times New Roman"/>
          <w:sz w:val="22"/>
          <w:szCs w:val="22"/>
          <w:lang w:eastAsia="en-US"/>
        </w:rPr>
        <w:t xml:space="preserve"> Dodatkowo </w:t>
      </w:r>
      <w:r>
        <w:rPr>
          <w:rFonts w:hint="default" w:ascii="Times New Roman" w:hAnsi="Times New Roman" w:cs="Times New Roman"/>
          <w:sz w:val="22"/>
          <w:szCs w:val="22"/>
          <w:shd w:val="clear" w:color="auto" w:fill="FFFFFF"/>
        </w:rPr>
        <w:t>określono rodzaj magazynu energii, który poddano ocenie wpływu na środowisko oraz wskazano na konieczność wykonania szczelnych posadzek w tym obiekcie, celem wyeliminowania potencjalnego wycieku elektrolitu z baterii do środowiska.</w:t>
      </w:r>
    </w:p>
    <w:p w14:paraId="4865E78D">
      <w:pPr>
        <w:spacing w:after="200" w:line="240" w:lineRule="auto"/>
        <w:ind w:firstLine="567"/>
        <w:jc w:val="both"/>
        <w:rPr>
          <w:rFonts w:hint="default" w:ascii="Times New Roman" w:hAnsi="Times New Roman" w:cs="Times New Roman"/>
          <w:sz w:val="22"/>
          <w:szCs w:val="22"/>
          <w:shd w:val="clear" w:color="auto" w:fill="FFFFFF"/>
          <w:lang w:val="pl-PL"/>
        </w:rPr>
      </w:pPr>
      <w:r>
        <w:rPr>
          <w:rFonts w:hint="default" w:ascii="Times New Roman" w:hAnsi="Times New Roman" w:cs="Times New Roman"/>
          <w:sz w:val="22"/>
          <w:szCs w:val="22"/>
          <w:shd w:val="clear" w:color="auto" w:fill="FFFFFF"/>
          <w:lang w:val="pl-PL"/>
        </w:rPr>
        <w:t>Zgodnie z art. 389 pkt 9 ustawy z dnia 20 lipca 2017r. Prawo  wodne (Dz.U. z 2024r.poz. 1087) na prowadzenie przez wody nawierzchniowe płynące oraz przez wały przeciwpowodziowe obiektów mostowych, rurociągów, przewodów w rurach osłonowyh lub przepustów wymagane jest uzyskanie pozwolenia wodnoprawnego. W związku powyższym na wykonanie przekroczenia cieku Dopływ spod Gumienic na działce nr 221 obręb Gumienice należy uzyskać pozwolenie wodnoprawne co zostało ujęte  w</w:t>
      </w:r>
      <w:r>
        <w:rPr>
          <w:rFonts w:hint="default" w:ascii="Times New Roman" w:hAnsi="Times New Roman" w:eastAsia="Calibri" w:cs="Times New Roman"/>
          <w:sz w:val="22"/>
          <w:szCs w:val="22"/>
          <w:lang w:eastAsia="en-US"/>
        </w:rPr>
        <w:t xml:space="preserve"> warunka</w:t>
      </w:r>
      <w:r>
        <w:rPr>
          <w:rFonts w:hint="default" w:ascii="Times New Roman" w:hAnsi="Times New Roman" w:eastAsia="Calibri" w:cs="Times New Roman"/>
          <w:sz w:val="22"/>
          <w:szCs w:val="22"/>
          <w:lang w:val="pl-PL" w:eastAsia="en-US"/>
        </w:rPr>
        <w:t>ch</w:t>
      </w:r>
      <w:r>
        <w:rPr>
          <w:rFonts w:hint="default" w:ascii="Times New Roman" w:hAnsi="Times New Roman" w:eastAsia="Calibri" w:cs="Times New Roman"/>
          <w:sz w:val="22"/>
          <w:szCs w:val="22"/>
          <w:lang w:eastAsia="en-US"/>
        </w:rPr>
        <w:t xml:space="preserve"> w niniejszej </w:t>
      </w:r>
      <w:r>
        <w:rPr>
          <w:rFonts w:hint="default" w:ascii="Times New Roman" w:hAnsi="Times New Roman" w:eastAsia="Calibri" w:cs="Times New Roman"/>
          <w:sz w:val="22"/>
          <w:szCs w:val="22"/>
          <w:lang w:val="pl-PL" w:eastAsia="en-US"/>
        </w:rPr>
        <w:t>decyzji.</w:t>
      </w:r>
    </w:p>
    <w:p w14:paraId="749FDF7A">
      <w:pPr>
        <w:spacing w:after="20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FFFFF"/>
        </w:rPr>
        <w:t>W kontekście art. 63 ust. 1 pkt 1 lit. f ustawy ooś ustalono, że gospodarowanie odpadami na etapie realizacji, eksploatacji i likwidacji przedmiotowego przedsięwzięcia odbywać się będzie na zasadach określonych w aktualnie obowiązujących przepisach szczegółowych. Na etapie prac wykonawczych źródłem powstawania odpadów będą prace budowlane. Powstaną wówczas głównie</w:t>
      </w:r>
      <w:r>
        <w:rPr>
          <w:rFonts w:hint="default" w:ascii="Times New Roman" w:hAnsi="Times New Roman" w:cs="Times New Roman"/>
          <w:color w:val="FF0000"/>
          <w:sz w:val="22"/>
          <w:szCs w:val="22"/>
          <w:shd w:val="clear" w:color="auto" w:fill="FFFFFF"/>
        </w:rPr>
        <w:t xml:space="preserve"> </w:t>
      </w:r>
      <w:r>
        <w:rPr>
          <w:rFonts w:hint="default" w:ascii="Times New Roman" w:hAnsi="Times New Roman" w:cs="Times New Roman"/>
          <w:sz w:val="22"/>
          <w:szCs w:val="22"/>
          <w:shd w:val="clear" w:color="auto" w:fill="FFFFFF"/>
        </w:rPr>
        <w:t>odpady opakowaniowe, żelazo i stal, kable oraz odpady z budowy,</w:t>
      </w:r>
      <w:r>
        <w:rPr>
          <w:rFonts w:hint="default" w:ascii="Times New Roman" w:hAnsi="Times New Roman" w:cs="Times New Roman"/>
          <w:color w:val="FF0000"/>
          <w:sz w:val="22"/>
          <w:szCs w:val="22"/>
          <w:shd w:val="clear" w:color="auto" w:fill="FFFFFF"/>
        </w:rPr>
        <w:t xml:space="preserve"> </w:t>
      </w:r>
      <w:r>
        <w:rPr>
          <w:rFonts w:hint="default" w:ascii="Times New Roman" w:hAnsi="Times New Roman" w:cs="Times New Roman"/>
          <w:sz w:val="22"/>
          <w:szCs w:val="22"/>
          <w:shd w:val="clear" w:color="auto" w:fill="FFFFFF"/>
        </w:rPr>
        <w:t>które będą zbierane selektywnie,</w:t>
      </w:r>
      <w:r>
        <w:rPr>
          <w:rFonts w:hint="default" w:ascii="Times New Roman" w:hAnsi="Times New Roman" w:cs="Times New Roman"/>
          <w:sz w:val="22"/>
          <w:szCs w:val="22"/>
          <w:shd w:val="clear" w:color="auto" w:fill="FFFFFF"/>
          <w:lang w:val="pl-PL"/>
        </w:rPr>
        <w:t xml:space="preserve">   </w:t>
      </w:r>
      <w:r>
        <w:rPr>
          <w:rFonts w:hint="default" w:ascii="Times New Roman" w:hAnsi="Times New Roman" w:cs="Times New Roman"/>
          <w:sz w:val="22"/>
          <w:szCs w:val="22"/>
          <w:shd w:val="clear" w:color="auto" w:fill="FFFFFF"/>
        </w:rPr>
        <w:t xml:space="preserve"> a następnie przekazywane do dalszego zagospodarowania. W trakcie eksploatacji wytwarzane będą odpady związane z pracami konserwatorskimi urządzeń technicznych. Część odpadów może być wytwarzana przez firmy świadczące usługi w myśl definicji określonej w art. 3 ust. 1 pkt 32 ustawy </w:t>
      </w:r>
      <w:r>
        <w:rPr>
          <w:rFonts w:hint="default" w:ascii="Times New Roman" w:hAnsi="Times New Roman" w:cs="Times New Roman"/>
          <w:sz w:val="22"/>
          <w:szCs w:val="22"/>
          <w:shd w:val="clear" w:color="auto" w:fill="FFFFFF"/>
          <w:lang w:val="pl-PL"/>
        </w:rPr>
        <w:t xml:space="preserve">    </w:t>
      </w:r>
      <w:r>
        <w:rPr>
          <w:rFonts w:hint="default" w:ascii="Times New Roman" w:hAnsi="Times New Roman" w:cs="Times New Roman"/>
          <w:sz w:val="22"/>
          <w:szCs w:val="22"/>
          <w:shd w:val="clear" w:color="auto" w:fill="FFFFFF"/>
        </w:rPr>
        <w:t>z dnia 14 grudnia 2012 r. o odpadach</w:t>
      </w:r>
      <w:r>
        <w:rPr>
          <w:rFonts w:hint="default" w:ascii="Times New Roman" w:hAnsi="Times New Roman" w:cs="Times New Roman"/>
          <w:color w:val="FF0000"/>
          <w:sz w:val="22"/>
          <w:szCs w:val="22"/>
          <w:shd w:val="clear" w:color="auto" w:fill="FFFFFF"/>
        </w:rPr>
        <w:t xml:space="preserve"> </w:t>
      </w:r>
      <w:r>
        <w:rPr>
          <w:rFonts w:hint="default" w:ascii="Times New Roman" w:hAnsi="Times New Roman" w:cs="Times New Roman"/>
          <w:sz w:val="22"/>
          <w:szCs w:val="22"/>
          <w:shd w:val="clear" w:color="auto" w:fill="FFFFFF"/>
        </w:rPr>
        <w:t>(Dz. U. z 2023 r. poz. 1587 z późn. zm.). Wówczas świadczący usługi, jako posiadacz odpadów, będzie obowiązany do postępowania z odpadami w sposób zgodny z zasadami gospodarowania odpadami. Wytwarzane na etapie likwidacji przedsięwzięcia odpady przekazane zostaną uprawnionym podmiotom do dalszego zagospodarowania. Mając na uwadze powyższe nie przewiduje się negatywnego wpływu planowanego przedsięwzięcia na środowisko gruntowo-wodne w rejonie zainwestowania.</w:t>
      </w:r>
    </w:p>
    <w:p w14:paraId="0798B7D1">
      <w:pPr>
        <w:spacing w:after="20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Odnosząc się do art. 63 ust. 1 pkt 2 lit. a, b, c, d, f, g, h, i, j ustawy ooś ustalono,</w:t>
      </w:r>
      <w:r>
        <w:rPr>
          <w:rFonts w:hint="default" w:ascii="Times New Roman" w:hAnsi="Times New Roman" w:cs="Times New Roman"/>
          <w:sz w:val="22"/>
          <w:szCs w:val="22"/>
        </w:rPr>
        <w:br w:type="textWrapping"/>
      </w:r>
      <w:r>
        <w:rPr>
          <w:rFonts w:hint="default" w:ascii="Times New Roman" w:hAnsi="Times New Roman" w:cs="Times New Roman"/>
          <w:sz w:val="22"/>
          <w:szCs w:val="22"/>
        </w:rPr>
        <w:t xml:space="preserve">że teren przedsięwzięcia nie jest zlokalizowany na obszarach wodno-błotnych i innych obszarach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o płytkim poziomie zalegania wód podziemnych, w strefach ochronnych ujęć wód</w:t>
      </w:r>
      <w:r>
        <w:rPr>
          <w:rFonts w:hint="default" w:ascii="Times New Roman" w:hAnsi="Times New Roman" w:cs="Times New Roman"/>
          <w:sz w:val="22"/>
          <w:szCs w:val="22"/>
        </w:rPr>
        <w:br w:type="textWrapping"/>
      </w:r>
      <w:r>
        <w:rPr>
          <w:rFonts w:hint="default" w:ascii="Times New Roman" w:hAnsi="Times New Roman" w:cs="Times New Roman"/>
          <w:sz w:val="22"/>
          <w:szCs w:val="22"/>
        </w:rPr>
        <w:t xml:space="preserve">i obszarach ochronnych zbiorników wód śródlądowych, obszarach wybrzeży i środowiska morskiego, górskiego, leśnego oraz obszarach przylegających do jezior. Przedsięwzięcie nie będzie zlokalizowane na obszarach o krajobrazie mającym znaczenie historyczne, kulturowe oraz archeologiczne. Nie będzie również zlokalizowane na obszarach uzdrowiskowych i ochrony uzdrowiskowej. Przedsięwzięcie nie będzie zlokalizowane na obszarach o dużej gęstości zaludnienia. W związku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z realizacją przedmiotowego przedsięwzięcia nie przewiduje się przekroczenia standardów jakości środowiska</w:t>
      </w:r>
      <w:r>
        <w:rPr>
          <w:rFonts w:hint="default" w:ascii="Times New Roman" w:hAnsi="Times New Roman" w:cs="Times New Roman"/>
          <w:sz w:val="22"/>
          <w:szCs w:val="22"/>
          <w:shd w:val="clear" w:color="auto" w:fill="FFFFFF"/>
        </w:rPr>
        <w:t>.</w:t>
      </w:r>
    </w:p>
    <w:p w14:paraId="2895D613">
      <w:pPr>
        <w:spacing w:after="20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W nawiązaniu do art. 63 ust. 1 pkt 1 lit. c ustawy ooś ustalono, że realizacja przedsięwzięcia wiąże się z zastosowaniem typowych dla tego rodzaju przedsięwzięć materiałów i surowców budowlanych, miedzy innymi takich jak: kruszywo, beton, stal i inne metale. Na potrzeby realizacji przedsięwzięcia niezbędne będzie także zużycie paliwa, energii elektrycznej oraz wody.</w:t>
      </w:r>
    </w:p>
    <w:p w14:paraId="63B8D69A">
      <w:pPr>
        <w:spacing w:after="20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Odnosząc się do art. 63 ust. 1 pkt 2 lit. e ustawy ooś, na podstawie przedstawionych materiałów stwierdzono, że teren przeznaczony pod przedsięwzięcie zlokalizowany jest poza obszarami chronionymi na podstawie ustawy z dnia 16 kwietnia 2004 r. o ochronie przyrody (Dz. U. z 2023 r. poz. 1336, z późn. zm.). Najbliżej położonymi obszarami Natura 2000 są: specjalny obszar ochrony siedlisk Uroczyska Płyty Krotoszyńskiej PLH300002 i obszar specjalnej ochrony ptaków Dąbrowy Krotoszyńskie PLB300007, oddalone o 14,7 km od przedsięwzięcia. Planowana elektrownia zlokalizowana będzie na gruncie ornym, a jego realizacja nie będzie się wiązać z wycinką drzew</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 i krzewów. W otoczeniu przedsięwzięcia znajdują się grunty rolne, las, droga i rów melioracyjny przebiegający przez teren planowanej elektrowni. Na etapie eksploatacji przedsięwzięcia teren farmy obsiany zostanie roślinnością trawiastą, która będzie wykaszana i usuwana. W celu ochrony lokalnej bioróżnorodności nałożono warunek, aby do obsiewu powierzchni biologicznie czynnej elektrowni słonecznej nie używać gatunków roślin obcego pochodzenia. </w:t>
      </w:r>
      <w:r>
        <w:rPr>
          <w:rFonts w:hint="default" w:ascii="Times New Roman" w:hAnsi="Times New Roman" w:cs="Times New Roman"/>
          <w:bCs/>
          <w:sz w:val="22"/>
          <w:szCs w:val="22"/>
        </w:rPr>
        <w:t xml:space="preserve">W celu ochrony ptaków lęgowych oraz w związku z lokalizacją w pobliżu rowu melioracyjnego będącego siedliskiem płazów, nałożono w </w:t>
      </w:r>
      <w:r>
        <w:rPr>
          <w:rFonts w:hint="default" w:ascii="Times New Roman" w:hAnsi="Times New Roman" w:cs="Times New Roman"/>
          <w:bCs/>
          <w:sz w:val="22"/>
          <w:szCs w:val="22"/>
          <w:lang w:val="pl-PL"/>
        </w:rPr>
        <w:t>decyzji</w:t>
      </w:r>
      <w:r>
        <w:rPr>
          <w:rFonts w:hint="default" w:ascii="Times New Roman" w:hAnsi="Times New Roman" w:cs="Times New Roman"/>
          <w:bCs/>
          <w:sz w:val="22"/>
          <w:szCs w:val="22"/>
        </w:rPr>
        <w:t xml:space="preserve"> warunek koszenia terenu elektrowni poza okresem lęgowym ptaków, który dla większości gatunków ptaków krajobrazu rolniczego przypada przeciętnie od 1 marca do 31 lipca oraz poza okresem migracji płazów. Wiosenny okres migracji dla większości gatunków płazów w Polsce przypada przeciętnie od 15 lutego do końca maja, natomiast jesienny okres migracji przypada przeciętnie od 15 sierpnia do końca października</w:t>
      </w:r>
      <w:r>
        <w:rPr>
          <w:rFonts w:hint="default" w:ascii="Times New Roman" w:hAnsi="Times New Roman" w:cs="Times New Roman"/>
          <w:sz w:val="22"/>
          <w:szCs w:val="22"/>
        </w:rPr>
        <w:t>. Nałożono także warunek montażu paneli słonecznych na wysokości co najmniej 0,8 m mierząc od dolnej krawędzi paneli słonecznych do powierzchni ziemi co pozwoli na rozwój roślinności i w konsekwencji, umożliwi ptakom wyprowadzenie lęgów, roślinom zawiązywanie nasion, a także pozwoli ograniczyć zacienienie paneli słonecznych przez roślinność. Na etapie prowadzenia prac ziemnych oraz w celu umożliwienia migracji drobnym zwierzętom na etapie eksploatacji przedsięwzięcia nałożono warunek regularnych kontroli wykopów, uwalniania uwięzionych w nich zwierząt oraz warunek wykonania ażurowego ogrodzenia bez podmurówki z pozostawieniem minimum</w:t>
      </w:r>
      <w:r>
        <w:rPr>
          <w:rFonts w:hint="default" w:ascii="Times New Roman" w:hAnsi="Times New Roman" w:cs="Times New Roman"/>
          <w:b/>
          <w:sz w:val="22"/>
          <w:szCs w:val="22"/>
        </w:rPr>
        <w:t xml:space="preserve"> </w:t>
      </w:r>
      <w:r>
        <w:rPr>
          <w:rFonts w:hint="default" w:ascii="Times New Roman" w:hAnsi="Times New Roman" w:cs="Times New Roman"/>
          <w:sz w:val="22"/>
          <w:szCs w:val="22"/>
        </w:rPr>
        <w:t xml:space="preserve">0,2 m przerwy między ogrodzeniem,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a gruntem. Aby zmniejszyć efekt olśnienia nałożono warunek zastosowania paneli słonecznych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o powierzchni antyrefleksyjnej, co ograniczy negatywne oddziaływanie na ptaki. W celu ograniczenia powierzchniowego spływu biogenów nałożono również warunek nie stosowania nawozów sztucznych i chemicznych środków ochrony roślin. Stacja kontenerowa i ogrodzenie wykonane zostaną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w kolorach szarości, grafitu lub zieleni co ograniczy oddziaływania na krajobraz. W celu minimalizacji oddziaływania na ludzi i przyrodę ożywioną nałożono w</w:t>
      </w:r>
      <w:r>
        <w:rPr>
          <w:rFonts w:hint="default" w:ascii="Times New Roman" w:hAnsi="Times New Roman" w:cs="Times New Roman"/>
          <w:sz w:val="22"/>
          <w:szCs w:val="22"/>
          <w:lang w:val="pl-PL"/>
        </w:rPr>
        <w:t xml:space="preserve"> decyzji</w:t>
      </w:r>
      <w:r>
        <w:rPr>
          <w:rFonts w:hint="default" w:ascii="Times New Roman" w:hAnsi="Times New Roman" w:cs="Times New Roman"/>
          <w:sz w:val="22"/>
          <w:szCs w:val="22"/>
        </w:rPr>
        <w:t xml:space="preserve"> warunek rezygnacji </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z ciągłego oświetlenia terenu elektrowni i jej ogrodzenia w porze nocnej. Najbliższa inna elektrownia słoneczna planowana jest do realizacji w odległości 3,5 km. Aby zachować ciągłość lokalnego korytarza ekologicznego jakim jest rów melioracyjny nałożono warunek wykonania elektrowni na 2 sektorach z granicą podziału biegnącą wzdłuż rowu melioracyjnego oraz warunek montażu ogrodzenia elektrowni w odległości minimum 3 m od tego rowu. Mając na względzie lokalizację planowanego przedsięwzięcia poza obszarami chronionymi, na gruncie ornym, brak konieczności wycinki drzew</w:t>
      </w:r>
      <w:r>
        <w:rPr>
          <w:rFonts w:hint="default" w:ascii="Times New Roman" w:hAnsi="Times New Roman" w:cs="Times New Roman"/>
          <w:sz w:val="22"/>
          <w:szCs w:val="22"/>
          <w:lang w:val="pl-PL"/>
        </w:rPr>
        <w:t xml:space="preserve">      </w:t>
      </w:r>
      <w:r>
        <w:rPr>
          <w:rFonts w:hint="default" w:ascii="Times New Roman" w:hAnsi="Times New Roman" w:cs="Times New Roman"/>
          <w:sz w:val="22"/>
          <w:szCs w:val="22"/>
        </w:rPr>
        <w:t xml:space="preserve"> i krzewów oraz realizację przedsięwzięcia zgodnie z nałożonymi w </w:t>
      </w:r>
      <w:r>
        <w:rPr>
          <w:rFonts w:hint="default" w:ascii="Times New Roman" w:hAnsi="Times New Roman" w:cs="Times New Roman"/>
          <w:sz w:val="22"/>
          <w:szCs w:val="22"/>
          <w:lang w:val="pl-PL"/>
        </w:rPr>
        <w:t>decyzji</w:t>
      </w:r>
      <w:r>
        <w:rPr>
          <w:rFonts w:hint="default" w:ascii="Times New Roman" w:hAnsi="Times New Roman" w:cs="Times New Roman"/>
          <w:sz w:val="22"/>
          <w:szCs w:val="22"/>
        </w:rPr>
        <w:t xml:space="preserve"> warunkami, nie przewiduje się znaczącego negatywnego oddziaływania przedsięwzięcia na środowisko przyrodnicze, w tym na różnorodność biologiczną, rozumianą jako liczebność i kondycję populacji występujących gatunków, w szczególności chronionych, rzadkich lub ginących gatunków roślin, zwierząt i grzybów. </w:t>
      </w:r>
      <w:r>
        <w:rPr>
          <w:rFonts w:hint="default" w:ascii="Times New Roman" w:hAnsi="Times New Roman" w:cs="Times New Roman"/>
          <w:bCs/>
          <w:sz w:val="22"/>
          <w:szCs w:val="22"/>
        </w:rPr>
        <w:t>Realizacja przedsięwzięcia nie wpłynie także na  obszary chronione, a w szczególności na siedliska przyrodnicze, gatunki roślin i zwierząt oraz ich siedliska, dla których ochrony zostały wyznaczone obszary Natura 2000, a także nie spowoduje pogorszenia integralności poszczególnych obszarów Natura 2000 lub ich powiązań z innymi obszarami. Ponadto przedsięwzięcie nie spowoduje utraty i fragmentacji siedlisk oraz nie  wpłynie na korytarze ekologiczne i funkcję ekosystemu</w:t>
      </w:r>
      <w:r>
        <w:rPr>
          <w:rFonts w:hint="default" w:ascii="Times New Roman" w:hAnsi="Times New Roman" w:cs="Times New Roman"/>
          <w:sz w:val="22"/>
          <w:szCs w:val="22"/>
        </w:rPr>
        <w:t>.</w:t>
      </w:r>
    </w:p>
    <w:p w14:paraId="2CA66F4A">
      <w:pPr>
        <w:tabs>
          <w:tab w:val="right" w:pos="9072"/>
        </w:tabs>
        <w:spacing w:after="200" w:line="240" w:lineRule="auto"/>
        <w:ind w:firstLine="567"/>
        <w:jc w:val="both"/>
        <w:rPr>
          <w:rFonts w:hint="default" w:ascii="Times New Roman" w:hAnsi="Times New Roman" w:eastAsia="Calibri" w:cs="Times New Roman"/>
          <w:sz w:val="22"/>
          <w:szCs w:val="22"/>
          <w:lang w:eastAsia="en-US"/>
        </w:rPr>
      </w:pPr>
      <w:r>
        <w:rPr>
          <w:rFonts w:hint="default" w:ascii="Times New Roman" w:hAnsi="Times New Roman" w:cs="Times New Roman"/>
          <w:bCs/>
          <w:sz w:val="22"/>
          <w:szCs w:val="22"/>
        </w:rPr>
        <w:t xml:space="preserve">Zgodnie z art. 63 ust. 1 pkt 3 ustawy ooś przeanalizowano zasięg, wielkość i złożoność oddziaływania, jego prawdopodobieństwo, czas trwania, częstotliwość i odwracalność, możliwości ograniczenia oddziaływania, a także możliwość powiązań z innymi przedsięwzięciami ustalono, że realizacja planowanego przedsięwzięcia nie pociągnie za sobą zagrożeń dla środowiska </w:t>
      </w:r>
      <w:r>
        <w:rPr>
          <w:rFonts w:hint="default" w:ascii="Times New Roman" w:hAnsi="Times New Roman" w:cs="Times New Roman"/>
          <w:bCs/>
          <w:sz w:val="22"/>
          <w:szCs w:val="22"/>
          <w:lang w:val="pl-PL"/>
        </w:rPr>
        <w:t xml:space="preserve">                       </w:t>
      </w:r>
      <w:r>
        <w:rPr>
          <w:rFonts w:hint="default" w:ascii="Times New Roman" w:hAnsi="Times New Roman" w:cs="Times New Roman"/>
          <w:bCs/>
          <w:sz w:val="22"/>
          <w:szCs w:val="22"/>
        </w:rPr>
        <w:t>i przedmiotowe przedsięwzięcie nie będzie transgranicznie oddziaływać na środowisko.</w:t>
      </w:r>
    </w:p>
    <w:p w14:paraId="7392C830">
      <w:pPr>
        <w:spacing w:after="200" w:line="240" w:lineRule="auto"/>
        <w:ind w:firstLine="567"/>
        <w:jc w:val="both"/>
        <w:rPr>
          <w:rFonts w:hint="default" w:ascii="Times New Roman" w:hAnsi="Times New Roman" w:cs="Times New Roman"/>
          <w:sz w:val="22"/>
          <w:szCs w:val="22"/>
        </w:rPr>
      </w:pPr>
      <w:r>
        <w:rPr>
          <w:rFonts w:hint="default" w:ascii="Times New Roman" w:hAnsi="Times New Roman" w:cs="Times New Roman"/>
          <w:bCs/>
          <w:sz w:val="22"/>
          <w:szCs w:val="22"/>
        </w:rPr>
        <w:t>Należy nadmienić, że zgodnie z art. 3 rozporządzenia Rady (UE) 2022/2577 z dnia 22 grudnia  2022 r. ustanawiające ramy służące przyspieszeniu wdrażania rozwiązań w zakresie energii odnawialnej (Dz.U.UE.L.2022.335.36 z późn. zm.), planowanie, budowa i eksploatacja obiektów i instalacji produkujących energię ze źródeł odnawialnych, ich podłączenie do sieci, sama powiązana z nimi sieć i aktywa do magazynowania energii, są uznawane za leżące w nadrzędnym interesie publicznym oraz służące zdrowiu i bezpieczeństwu publicznemu przy ważeniu interesów prawnych w poszczególnych przypadkach (…).</w:t>
      </w:r>
    </w:p>
    <w:p w14:paraId="78895939">
      <w:pPr>
        <w:spacing w:line="240" w:lineRule="auto"/>
        <w:ind w:right="-108" w:firstLine="567"/>
        <w:jc w:val="both"/>
        <w:rPr>
          <w:rFonts w:hint="default" w:ascii="Times New Roman" w:hAnsi="Times New Roman" w:cs="Times New Roman"/>
          <w:b/>
          <w:sz w:val="22"/>
          <w:szCs w:val="22"/>
        </w:rPr>
      </w:pPr>
      <w:r>
        <w:rPr>
          <w:rFonts w:hint="default" w:ascii="Times New Roman" w:hAnsi="Times New Roman" w:cs="Times New Roman"/>
          <w:sz w:val="22"/>
          <w:szCs w:val="22"/>
        </w:rPr>
        <w:t>Mając na uwadze przedłożone materiały dotyczące planowanej inwestycji, kartę informacyjna przedsięwzięcia,  stanowiska organów powołanych do wydania postanowień, opinii, zakres i lokalizację robót orzeczono jak w sentencji.</w:t>
      </w:r>
    </w:p>
    <w:p w14:paraId="78B0FAAD">
      <w:pPr>
        <w:spacing w:line="240" w:lineRule="auto"/>
        <w:ind w:right="-648"/>
        <w:jc w:val="center"/>
        <w:rPr>
          <w:rFonts w:hint="default" w:ascii="Times New Roman" w:hAnsi="Times New Roman" w:cs="Times New Roman"/>
          <w:b/>
          <w:sz w:val="22"/>
          <w:szCs w:val="22"/>
        </w:rPr>
      </w:pPr>
      <w:r>
        <w:rPr>
          <w:rFonts w:hint="default" w:ascii="Times New Roman" w:hAnsi="Times New Roman" w:cs="Times New Roman"/>
          <w:b/>
          <w:sz w:val="22"/>
          <w:szCs w:val="22"/>
        </w:rPr>
        <w:t>POUCZENIE</w:t>
      </w:r>
    </w:p>
    <w:p w14:paraId="3274D818">
      <w:pPr>
        <w:spacing w:line="240" w:lineRule="auto"/>
        <w:ind w:right="-648"/>
        <w:jc w:val="both"/>
        <w:rPr>
          <w:rFonts w:hint="default" w:ascii="Times New Roman" w:hAnsi="Times New Roman" w:cs="Times New Roman"/>
          <w:b/>
          <w:sz w:val="22"/>
          <w:szCs w:val="22"/>
        </w:rPr>
      </w:pPr>
    </w:p>
    <w:p w14:paraId="17AA4547">
      <w:pPr>
        <w:pStyle w:val="4"/>
        <w:spacing w:line="240" w:lineRule="auto"/>
        <w:ind w:right="-108"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Od niniejszej decyzji służy stronom odwołanie do Samorządowego Kolegium Odwoławczego w Lesznie za pośrednictwem Burmistrza Pogorzeli w terminie 14 dni od dnia jej doręczenia. </w:t>
      </w:r>
    </w:p>
    <w:p w14:paraId="703B2EF1">
      <w:pPr>
        <w:pStyle w:val="4"/>
        <w:spacing w:line="240" w:lineRule="auto"/>
        <w:ind w:right="-108"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W trakcie biegu terminu do wniesienia odwołania strony mogą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74752FAD">
      <w:pPr>
        <w:spacing w:line="240" w:lineRule="auto"/>
        <w:rPr>
          <w:rFonts w:hint="default" w:ascii="Times New Roman" w:hAnsi="Times New Roman" w:eastAsia="SimSun" w:cs="Times New Roman"/>
          <w:kern w:val="1"/>
          <w:sz w:val="22"/>
          <w:szCs w:val="22"/>
          <w:lang w:eastAsia="hi-IN" w:bidi="hi-IN"/>
        </w:rPr>
      </w:pPr>
    </w:p>
    <w:p w14:paraId="08C4A2BA">
      <w:pPr>
        <w:spacing w:line="240" w:lineRule="auto"/>
        <w:rPr>
          <w:rFonts w:hint="default" w:ascii="Times New Roman" w:hAnsi="Times New Roman" w:eastAsia="SimSun" w:cs="Times New Roman"/>
          <w:kern w:val="1"/>
          <w:sz w:val="22"/>
          <w:szCs w:val="22"/>
          <w:lang w:eastAsia="hi-IN" w:bidi="hi-IN"/>
        </w:rPr>
      </w:pPr>
    </w:p>
    <w:p w14:paraId="4E5E9E7B">
      <w:pPr>
        <w:spacing w:line="240" w:lineRule="auto"/>
        <w:rPr>
          <w:rFonts w:hint="default" w:ascii="Times New Roman" w:hAnsi="Times New Roman" w:eastAsia="SimSun" w:cs="Times New Roman"/>
          <w:kern w:val="1"/>
          <w:sz w:val="22"/>
          <w:szCs w:val="22"/>
          <w:lang w:eastAsia="hi-IN" w:bidi="hi-IN"/>
        </w:rPr>
      </w:pPr>
    </w:p>
    <w:p w14:paraId="1E0D6F38">
      <w:pPr>
        <w:spacing w:line="240" w:lineRule="auto"/>
        <w:rPr>
          <w:rFonts w:hint="default" w:ascii="Times New Roman" w:hAnsi="Times New Roman" w:cs="Times New Roman"/>
          <w:sz w:val="22"/>
          <w:szCs w:val="22"/>
        </w:rPr>
      </w:pPr>
    </w:p>
    <w:p w14:paraId="7C193D53">
      <w:pPr>
        <w:spacing w:line="240" w:lineRule="auto"/>
        <w:rPr>
          <w:rFonts w:hint="default" w:ascii="Times New Roman" w:hAnsi="Times New Roman" w:cs="Times New Roman"/>
          <w:sz w:val="22"/>
          <w:szCs w:val="22"/>
        </w:rPr>
      </w:pPr>
    </w:p>
    <w:p w14:paraId="65C49895">
      <w:pPr>
        <w:spacing w:line="240" w:lineRule="auto"/>
        <w:rPr>
          <w:rFonts w:hint="default" w:ascii="Times New Roman" w:hAnsi="Times New Roman" w:cs="Times New Roman"/>
          <w:sz w:val="18"/>
          <w:szCs w:val="18"/>
          <w:u w:val="single"/>
        </w:rPr>
      </w:pPr>
      <w:r>
        <w:rPr>
          <w:rFonts w:hint="default" w:ascii="Times New Roman" w:hAnsi="Times New Roman" w:cs="Times New Roman"/>
          <w:sz w:val="18"/>
          <w:szCs w:val="18"/>
          <w:u w:val="single"/>
        </w:rPr>
        <w:t>Załącznik:</w:t>
      </w:r>
    </w:p>
    <w:p w14:paraId="294297C0">
      <w:pPr>
        <w:numPr>
          <w:ilvl w:val="0"/>
          <w:numId w:val="2"/>
        </w:numPr>
        <w:spacing w:line="240" w:lineRule="auto"/>
        <w:rPr>
          <w:rFonts w:hint="default" w:ascii="Times New Roman" w:hAnsi="Times New Roman" w:cs="Times New Roman"/>
          <w:sz w:val="18"/>
          <w:szCs w:val="18"/>
          <w:u w:val="single"/>
        </w:rPr>
      </w:pPr>
      <w:r>
        <w:rPr>
          <w:rFonts w:hint="default" w:ascii="Times New Roman" w:hAnsi="Times New Roman" w:cs="Times New Roman"/>
          <w:sz w:val="18"/>
          <w:szCs w:val="18"/>
        </w:rPr>
        <w:t>Charakterystyka przedsięwzięcia</w:t>
      </w:r>
    </w:p>
    <w:p w14:paraId="202DCA7B">
      <w:pPr>
        <w:spacing w:line="240" w:lineRule="auto"/>
        <w:rPr>
          <w:rFonts w:hint="default" w:ascii="Times New Roman" w:hAnsi="Times New Roman" w:cs="Times New Roman"/>
          <w:sz w:val="18"/>
          <w:szCs w:val="18"/>
          <w:u w:val="single"/>
        </w:rPr>
      </w:pPr>
      <w:r>
        <w:rPr>
          <w:rFonts w:hint="default" w:ascii="Times New Roman" w:hAnsi="Times New Roman" w:cs="Times New Roman"/>
          <w:sz w:val="18"/>
          <w:szCs w:val="18"/>
          <w:u w:val="single"/>
        </w:rPr>
        <w:t xml:space="preserve">  Otrzymują :</w:t>
      </w:r>
    </w:p>
    <w:p w14:paraId="09D94899">
      <w:pPr>
        <w:numPr>
          <w:ilvl w:val="0"/>
          <w:numId w:val="3"/>
        </w:num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Inwestor </w:t>
      </w:r>
      <w:r>
        <w:rPr>
          <w:rFonts w:hint="default" w:ascii="Times New Roman" w:hAnsi="Times New Roman" w:cs="Times New Roman"/>
          <w:sz w:val="18"/>
          <w:szCs w:val="18"/>
          <w:lang w:val="pl-PL"/>
        </w:rPr>
        <w:t>za pośrednictwem Pełnomocnika</w:t>
      </w:r>
    </w:p>
    <w:p w14:paraId="64BD88EB">
      <w:pPr>
        <w:numPr>
          <w:ilvl w:val="0"/>
          <w:numId w:val="3"/>
        </w:num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a/a</w:t>
      </w:r>
    </w:p>
    <w:p w14:paraId="5D2974AE">
      <w:pPr>
        <w:spacing w:line="240" w:lineRule="auto"/>
        <w:rPr>
          <w:rFonts w:hint="default" w:ascii="Times New Roman" w:hAnsi="Times New Roman" w:cs="Times New Roman"/>
          <w:sz w:val="18"/>
          <w:szCs w:val="18"/>
        </w:rPr>
      </w:pPr>
    </w:p>
    <w:p w14:paraId="348E0267">
      <w:pPr>
        <w:spacing w:line="240" w:lineRule="auto"/>
        <w:ind w:left="360"/>
        <w:rPr>
          <w:rFonts w:hint="default" w:ascii="Times New Roman" w:hAnsi="Times New Roman" w:cs="Times New Roman"/>
          <w:sz w:val="18"/>
          <w:szCs w:val="18"/>
          <w:u w:val="single"/>
        </w:rPr>
      </w:pPr>
      <w:r>
        <w:rPr>
          <w:rFonts w:hint="default" w:ascii="Times New Roman" w:hAnsi="Times New Roman" w:cs="Times New Roman"/>
          <w:sz w:val="18"/>
          <w:szCs w:val="18"/>
          <w:u w:val="single"/>
        </w:rPr>
        <w:t>Do wiadomości:</w:t>
      </w:r>
    </w:p>
    <w:p w14:paraId="6A8F4475">
      <w:pPr>
        <w:numPr>
          <w:ilvl w:val="0"/>
          <w:numId w:val="4"/>
        </w:num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Państwowe Gospodarstwo Wodne Wody Polskie, Zarząd Zlewni w Lesznie</w:t>
      </w:r>
    </w:p>
    <w:p w14:paraId="306B3A94">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ul. Chociszewskiego 12, 64-100 Leszno</w:t>
      </w:r>
    </w:p>
    <w:p w14:paraId="45C6149E">
      <w:pPr>
        <w:numPr>
          <w:ilvl w:val="0"/>
          <w:numId w:val="4"/>
        </w:num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Regionalny Dyrektor Ochrony Środowiska w Poznaniu</w:t>
      </w:r>
    </w:p>
    <w:p w14:paraId="288A500D">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ul. Tadeusza Kościuszki 57, 61-891 Poznań</w:t>
      </w:r>
    </w:p>
    <w:p w14:paraId="3981AC54">
      <w:pPr>
        <w:numPr>
          <w:ilvl w:val="0"/>
          <w:numId w:val="4"/>
        </w:num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Państwowy Powiatowy Inspektor Sanitarny w Gostyniu    </w:t>
      </w:r>
    </w:p>
    <w:p w14:paraId="3C776602">
      <w:pPr>
        <w:spacing w:line="240" w:lineRule="auto"/>
        <w:ind w:left="720"/>
        <w:rPr>
          <w:rFonts w:hint="default" w:ascii="Times New Roman" w:hAnsi="Times New Roman" w:cs="Times New Roman"/>
          <w:sz w:val="18"/>
          <w:szCs w:val="18"/>
        </w:rPr>
      </w:pPr>
      <w:r>
        <w:rPr>
          <w:rFonts w:hint="default" w:ascii="Times New Roman" w:hAnsi="Times New Roman" w:cs="Times New Roman"/>
          <w:sz w:val="18"/>
          <w:szCs w:val="18"/>
        </w:rPr>
        <w:t>ul. Przy Dworcu 4, 63-800 Gostyń</w:t>
      </w:r>
    </w:p>
    <w:p w14:paraId="4BA45E2C">
      <w:pPr>
        <w:numPr>
          <w:ilvl w:val="0"/>
          <w:numId w:val="4"/>
        </w:num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Strony postępowania (art.74 ust 3 uuoś – liczba stron w postępowaniu przekracza 10, stosuje się art. 49 Kodeksu postępowania administracyjnego)</w:t>
      </w:r>
    </w:p>
    <w:p w14:paraId="6E696DFA">
      <w:pPr>
        <w:numPr>
          <w:ilvl w:val="0"/>
          <w:numId w:val="4"/>
        </w:numPr>
        <w:spacing w:line="240" w:lineRule="auto"/>
      </w:pPr>
      <w:r>
        <w:rPr>
          <w:rFonts w:hint="default" w:ascii="Times New Roman" w:hAnsi="Times New Roman" w:cs="Times New Roman"/>
          <w:sz w:val="18"/>
          <w:szCs w:val="18"/>
        </w:rPr>
        <w:t xml:space="preserve">Starosta Gostyński (po stwierdzeniu ostateczności decyzji) </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Luxi Sans">
    <w:altName w:val="Arial"/>
    <w:panose1 w:val="00000000000000000000"/>
    <w:charset w:val="EE"/>
    <w:family w:val="auto"/>
    <w:pitch w:val="default"/>
    <w:sig w:usb0="00000000" w:usb1="00000000" w:usb2="00000000" w:usb3="00000000" w:csb0="00040001" w:csb1="00000000"/>
  </w:font>
  <w:font w:name="Arial Narrow">
    <w:panose1 w:val="020B0606020202030204"/>
    <w:charset w:val="EE"/>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1665">
    <w:pPr>
      <w:pStyle w:val="5"/>
      <w:jc w:val="both"/>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7DD0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rcHW&#10;jyYCAABlBAAADgAAAAAAAAABACAAAAAfAQAAZHJzL2Uyb0RvYy54bWxQSwUGAAAAAAYABgBZAQAA&#10;twUAAAAA&#10;">
              <v:fill on="f" focussize="0,0"/>
              <v:stroke on="f" weight="0.5pt"/>
              <v:imagedata o:title=""/>
              <o:lock v:ext="edit" aspectratio="f"/>
              <v:textbox inset="0mm,0mm,0mm,0mm" style="mso-fit-shape-to-text:t;">
                <w:txbxContent>
                  <w:p w14:paraId="1067DD03">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cs="Times New Roman"/>
        <w:sz w:val="20"/>
        <w:szCs w:val="20"/>
      </w:rPr>
      <w:t>Sprawę prowadzi: Anna Fahner – Inspektor ds. ochrony środowiska</w:t>
    </w:r>
  </w:p>
  <w:p w14:paraId="69B7E878">
    <w:pPr>
      <w:pStyle w:val="5"/>
      <w:rPr>
        <w:rFonts w:ascii="Times New Roman" w:hAnsi="Times New Roman" w:cs="Times New Roman"/>
        <w:sz w:val="20"/>
        <w:szCs w:val="20"/>
      </w:rPr>
    </w:pPr>
    <w:r>
      <w:rPr>
        <w:rFonts w:ascii="Times New Roman" w:hAnsi="Times New Roman" w:cs="Times New Roman"/>
        <w:sz w:val="20"/>
        <w:szCs w:val="20"/>
      </w:rPr>
      <w:t>Tel. 65 573 46 20 wew. 224</w:t>
    </w:r>
  </w:p>
  <w:p w14:paraId="2093A185">
    <w:pPr>
      <w:pStyle w:val="5"/>
      <w:rPr>
        <w:rFonts w:ascii="Times New Roman" w:hAnsi="Times New Roman" w:cs="Times New Roman"/>
        <w:sz w:val="20"/>
        <w:szCs w:val="20"/>
      </w:rPr>
    </w:pPr>
    <w:r>
      <w:rPr>
        <w:rFonts w:ascii="Times New Roman" w:hAnsi="Times New Roman" w:cs="Times New Roman"/>
        <w:sz w:val="20"/>
        <w:szCs w:val="20"/>
      </w:rPr>
      <w:t>email – srodowisko@pogorzela.pl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054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F9D3">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6CCD">
    <w:pPr>
      <w:pStyle w:val="6"/>
      <w:contextualSpacing/>
      <w:jc w:val="center"/>
      <w:rPr>
        <w:rFonts w:ascii="Times New Roman" w:hAnsi="Times New Roman"/>
        <w:b/>
      </w:rPr>
    </w:pPr>
    <w:r>
      <w:rPr>
        <w:rFonts w:ascii="Times New Roman" w:hAnsi="Times New Roman"/>
        <w:b/>
        <w:bCs/>
        <w:lang w:eastAsia="pl-PL"/>
      </w:rPr>
      <w:drawing>
        <wp:anchor distT="0" distB="0" distL="114300" distR="114300" simplePos="0" relativeHeight="251659264" behindDoc="0" locked="0" layoutInCell="1" allowOverlap="1">
          <wp:simplePos x="0" y="0"/>
          <wp:positionH relativeFrom="column">
            <wp:posOffset>5013325</wp:posOffset>
          </wp:positionH>
          <wp:positionV relativeFrom="paragraph">
            <wp:posOffset>-196850</wp:posOffset>
          </wp:positionV>
          <wp:extent cx="689610" cy="834390"/>
          <wp:effectExtent l="0" t="0" r="0" b="3810"/>
          <wp:wrapNone/>
          <wp:docPr id="11595889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88942"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9610" cy="834390"/>
                  </a:xfrm>
                  <a:prstGeom prst="rect">
                    <a:avLst/>
                  </a:prstGeom>
                  <a:noFill/>
                  <a:ln>
                    <a:noFill/>
                  </a:ln>
                </pic:spPr>
              </pic:pic>
            </a:graphicData>
          </a:graphic>
        </wp:anchor>
      </w:drawing>
    </w:r>
    <w:r>
      <w:rPr>
        <w:rFonts w:ascii="Times New Roman" w:hAnsi="Times New Roman"/>
        <w:b/>
        <w:bCs/>
        <w:lang w:eastAsia="pl-PL"/>
      </w:rPr>
      <w:t>BURMISTRZ</w:t>
    </w:r>
    <w:r>
      <w:rPr>
        <w:rFonts w:ascii="Times New Roman" w:hAnsi="Times New Roman"/>
        <w:b/>
      </w:rPr>
      <w:t xml:space="preserve">  POGORZELI</w:t>
    </w:r>
  </w:p>
  <w:p w14:paraId="76A8D5F4">
    <w:pPr>
      <w:spacing w:after="0"/>
      <w:jc w:val="center"/>
      <w:rPr>
        <w:rFonts w:ascii="Times New Roman" w:hAnsi="Times New Roman"/>
      </w:rPr>
    </w:pPr>
    <w:r>
      <w:rPr>
        <w:rFonts w:ascii="Times New Roman" w:hAnsi="Times New Roman"/>
      </w:rPr>
      <w:t>ul. Rynek 1, 64-860 Pogorzela</w:t>
    </w:r>
  </w:p>
  <w:p w14:paraId="4624D78B">
    <w:pPr>
      <w:pStyle w:val="6"/>
      <w:contextualSpacing/>
      <w:jc w:val="center"/>
      <w:rPr>
        <w:rFonts w:ascii="Times New Roman" w:hAnsi="Times New Roman"/>
        <w:lang w:val="en-US"/>
      </w:rPr>
    </w:pPr>
    <w:r>
      <w:rPr>
        <w:rFonts w:ascii="Times New Roman" w:hAnsi="Times New Roman"/>
        <w:lang w:val="en-US"/>
      </w:rPr>
      <w:t xml:space="preserve">tel. </w:t>
    </w:r>
    <w:r>
      <w:rPr>
        <w:rFonts w:ascii="Times New Roman" w:hAnsi="Times New Roman"/>
        <w:color w:val="222222"/>
        <w:lang w:val="en-US"/>
      </w:rPr>
      <w:t>65 573 46 20</w:t>
    </w:r>
    <w:r>
      <w:rPr>
        <w:rFonts w:ascii="Times New Roman" w:hAnsi="Times New Roman"/>
        <w:lang w:val="en-US"/>
      </w:rPr>
      <w:t xml:space="preserve">,  fax </w:t>
    </w:r>
    <w:r>
      <w:rPr>
        <w:rFonts w:ascii="Times New Roman" w:hAnsi="Times New Roman"/>
        <w:color w:val="222222"/>
        <w:lang w:val="en-US"/>
      </w:rPr>
      <w:t>65 573 46 20</w:t>
    </w:r>
    <w:r>
      <w:rPr>
        <w:rFonts w:ascii="Times New Roman" w:hAnsi="Times New Roman"/>
        <w:lang w:val="en-US"/>
      </w:rPr>
      <w:t>,</w:t>
    </w:r>
  </w:p>
  <w:p w14:paraId="0E6DCA8A">
    <w:pPr>
      <w:pStyle w:val="6"/>
      <w:contextualSpacing/>
      <w:jc w:val="center"/>
      <w:rPr>
        <w:rFonts w:ascii="Times New Roman" w:hAnsi="Times New Roman"/>
        <w:lang w:val="en-US"/>
      </w:rPr>
    </w:pPr>
    <w:r>
      <w:rPr>
        <w:rFonts w:ascii="Times New Roman" w:hAnsi="Times New Roman"/>
        <w:lang w:val="en-US"/>
      </w:rPr>
      <w:t xml:space="preserve">e-mail: um@pogorzela.pl, </w:t>
    </w:r>
    <w:r>
      <w:fldChar w:fldCharType="begin"/>
    </w:r>
    <w:r>
      <w:instrText xml:space="preserve"> HYPERLINK "https://www.pogorzela.pl" </w:instrText>
    </w:r>
    <w:r>
      <w:fldChar w:fldCharType="separate"/>
    </w:r>
    <w:r>
      <w:rPr>
        <w:rStyle w:val="7"/>
        <w:rFonts w:ascii="Times New Roman" w:hAnsi="Times New Roman"/>
        <w:lang w:val="en-US"/>
      </w:rPr>
      <w:t>https://www.pogorzela.pl</w:t>
    </w:r>
    <w:r>
      <w:rPr>
        <w:rStyle w:val="7"/>
        <w:rFonts w:ascii="Times New Roman" w:hAnsi="Times New Roman"/>
        <w:lang w:val="en-US"/>
      </w:rPr>
      <w:fldChar w:fldCharType="end"/>
    </w:r>
    <w:r>
      <w:rPr>
        <w:rFonts w:ascii="Times New Roman" w:hAnsi="Times New Roman"/>
        <w:lang w:val="en-US"/>
      </w:rPr>
      <w:t>.</w:t>
    </w:r>
    <w:r>
      <w:rPr>
        <w:rFonts w:ascii="Times New Roman" w:hAnsi="Times New Roman"/>
      </w:rPr>
      <w:pict>
        <v:rect id="_x0000_i1025" o:spt="1" style="height:1.5pt;width:0pt;" fillcolor="#A0A0A0" filled="t" stroked="f" coordsize="21600,21600" o:hr="t" o:hrstd="t" o:hralign="center">
          <v:path/>
          <v:fill on="t" focussize="0,0"/>
          <v:stroke on="f"/>
          <v:imagedata o:title=""/>
          <o:lock v:ext="edit"/>
          <w10:wrap type="none"/>
          <w10:anchorlock/>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2F8E">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E089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D714B"/>
    <w:multiLevelType w:val="multilevel"/>
    <w:tmpl w:val="01FD714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6775FEB"/>
    <w:multiLevelType w:val="multilevel"/>
    <w:tmpl w:val="26775FE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B181B0D"/>
    <w:multiLevelType w:val="multilevel"/>
    <w:tmpl w:val="4B181B0D"/>
    <w:lvl w:ilvl="0" w:tentative="0">
      <w:start w:val="1"/>
      <w:numFmt w:val="decimal"/>
      <w:lvlText w:val="%1."/>
      <w:lvlJc w:val="left"/>
      <w:pPr>
        <w:ind w:left="8582" w:hanging="360"/>
      </w:pPr>
      <w:rPr>
        <w:color w:val="auto"/>
      </w:rPr>
    </w:lvl>
    <w:lvl w:ilvl="1" w:tentative="0">
      <w:start w:val="1"/>
      <w:numFmt w:val="lowerLetter"/>
      <w:lvlText w:val="%2."/>
      <w:lvlJc w:val="left"/>
      <w:pPr>
        <w:ind w:left="9302" w:hanging="360"/>
      </w:pPr>
    </w:lvl>
    <w:lvl w:ilvl="2" w:tentative="0">
      <w:start w:val="1"/>
      <w:numFmt w:val="lowerRoman"/>
      <w:lvlText w:val="%3."/>
      <w:lvlJc w:val="right"/>
      <w:pPr>
        <w:ind w:left="10022" w:hanging="180"/>
      </w:pPr>
    </w:lvl>
    <w:lvl w:ilvl="3" w:tentative="0">
      <w:start w:val="1"/>
      <w:numFmt w:val="decimal"/>
      <w:lvlText w:val="%4."/>
      <w:lvlJc w:val="left"/>
      <w:pPr>
        <w:ind w:left="10742" w:hanging="360"/>
      </w:pPr>
    </w:lvl>
    <w:lvl w:ilvl="4" w:tentative="0">
      <w:start w:val="1"/>
      <w:numFmt w:val="lowerLetter"/>
      <w:lvlText w:val="%5."/>
      <w:lvlJc w:val="left"/>
      <w:pPr>
        <w:ind w:left="11462" w:hanging="360"/>
      </w:pPr>
    </w:lvl>
    <w:lvl w:ilvl="5" w:tentative="0">
      <w:start w:val="1"/>
      <w:numFmt w:val="lowerRoman"/>
      <w:lvlText w:val="%6."/>
      <w:lvlJc w:val="right"/>
      <w:pPr>
        <w:ind w:left="12182" w:hanging="180"/>
      </w:pPr>
    </w:lvl>
    <w:lvl w:ilvl="6" w:tentative="0">
      <w:start w:val="1"/>
      <w:numFmt w:val="decimal"/>
      <w:lvlText w:val="%7."/>
      <w:lvlJc w:val="left"/>
      <w:pPr>
        <w:ind w:left="12902" w:hanging="360"/>
      </w:pPr>
    </w:lvl>
    <w:lvl w:ilvl="7" w:tentative="0">
      <w:start w:val="1"/>
      <w:numFmt w:val="lowerLetter"/>
      <w:lvlText w:val="%8."/>
      <w:lvlJc w:val="left"/>
      <w:pPr>
        <w:ind w:left="13622" w:hanging="360"/>
      </w:pPr>
    </w:lvl>
    <w:lvl w:ilvl="8" w:tentative="0">
      <w:start w:val="1"/>
      <w:numFmt w:val="lowerRoman"/>
      <w:lvlText w:val="%9."/>
      <w:lvlJc w:val="right"/>
      <w:pPr>
        <w:ind w:left="14342" w:hanging="180"/>
      </w:pPr>
    </w:lvl>
  </w:abstractNum>
  <w:abstractNum w:abstractNumId="3">
    <w:nsid w:val="6E586714"/>
    <w:multiLevelType w:val="multilevel"/>
    <w:tmpl w:val="6E58671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B7"/>
    <w:rsid w:val="000539FC"/>
    <w:rsid w:val="00112AB7"/>
    <w:rsid w:val="00417250"/>
    <w:rsid w:val="00421118"/>
    <w:rsid w:val="00425579"/>
    <w:rsid w:val="00654DE6"/>
    <w:rsid w:val="006B17E3"/>
    <w:rsid w:val="006E1775"/>
    <w:rsid w:val="00794D6E"/>
    <w:rsid w:val="00860FF6"/>
    <w:rsid w:val="008917DB"/>
    <w:rsid w:val="00A77213"/>
    <w:rsid w:val="00B874DE"/>
    <w:rsid w:val="00C0079E"/>
    <w:rsid w:val="00C04344"/>
    <w:rsid w:val="00C117AA"/>
    <w:rsid w:val="00C754A3"/>
    <w:rsid w:val="00DA2ED6"/>
    <w:rsid w:val="00DC6B03"/>
    <w:rsid w:val="00F63A02"/>
    <w:rsid w:val="1F7B438E"/>
    <w:rsid w:val="41F0363A"/>
    <w:rsid w:val="427A6DD3"/>
    <w:rsid w:val="590E26D3"/>
    <w:rsid w:val="6B8E37B3"/>
    <w:rsid w:val="78FC59A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pl-PL"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val="0"/>
      <w:suppressAutoHyphens/>
      <w:spacing w:after="120"/>
    </w:pPr>
    <w:rPr>
      <w:rFonts w:eastAsia="SimSun" w:cs="Mangal"/>
      <w:kern w:val="1"/>
      <w:lang w:eastAsia="hi-IN" w:bidi="hi-IN"/>
    </w:rPr>
  </w:style>
  <w:style w:type="paragraph" w:styleId="5">
    <w:name w:val="footer"/>
    <w:basedOn w:val="1"/>
    <w:link w:val="11"/>
    <w:unhideWhenUsed/>
    <w:qFormat/>
    <w:uiPriority w:val="99"/>
    <w:pPr>
      <w:tabs>
        <w:tab w:val="center" w:pos="4536"/>
        <w:tab w:val="right" w:pos="9072"/>
      </w:tabs>
      <w:spacing w:after="0" w:line="240" w:lineRule="auto"/>
    </w:pPr>
  </w:style>
  <w:style w:type="paragraph" w:styleId="6">
    <w:name w:val="header"/>
    <w:basedOn w:val="1"/>
    <w:link w:val="10"/>
    <w:unhideWhenUsed/>
    <w:qFormat/>
    <w:uiPriority w:val="99"/>
    <w:pPr>
      <w:tabs>
        <w:tab w:val="center" w:pos="4536"/>
        <w:tab w:val="right" w:pos="9072"/>
      </w:tabs>
      <w:spacing w:after="0" w:line="240" w:lineRule="auto"/>
    </w:pPr>
  </w:style>
  <w:style w:type="character" w:styleId="7">
    <w:name w:val="Hyperlink"/>
    <w:basedOn w:val="2"/>
    <w:unhideWhenUsed/>
    <w:qFormat/>
    <w:uiPriority w:val="99"/>
    <w:rPr>
      <w:color w:val="0000FF"/>
      <w:u w:val="single"/>
    </w:rPr>
  </w:style>
  <w:style w:type="paragraph" w:styleId="8">
    <w:name w:val="Normal (Web)"/>
    <w:basedOn w:val="1"/>
    <w:uiPriority w:val="0"/>
    <w:pPr>
      <w:spacing w:before="100" w:beforeAutospacing="1" w:after="100" w:afterAutospacing="1"/>
    </w:pPr>
  </w:style>
  <w:style w:type="character" w:styleId="9">
    <w:name w:val="page number"/>
    <w:basedOn w:val="2"/>
    <w:qFormat/>
    <w:uiPriority w:val="0"/>
  </w:style>
  <w:style w:type="character" w:customStyle="1" w:styleId="10">
    <w:name w:val="Nagłówek Znak"/>
    <w:basedOn w:val="2"/>
    <w:link w:val="6"/>
    <w:qFormat/>
    <w:uiPriority w:val="99"/>
  </w:style>
  <w:style w:type="character" w:customStyle="1" w:styleId="11">
    <w:name w:val="Stopka Znak"/>
    <w:basedOn w:val="2"/>
    <w:link w:val="5"/>
    <w:qFormat/>
    <w:uiPriority w:val="99"/>
  </w:style>
  <w:style w:type="character" w:customStyle="1" w:styleId="12">
    <w:name w:val="Unresolved Mention"/>
    <w:basedOn w:val="2"/>
    <w:semiHidden/>
    <w:unhideWhenUsed/>
    <w:qFormat/>
    <w:uiPriority w:val="99"/>
    <w:rPr>
      <w:color w:val="605E5C"/>
      <w:shd w:val="clear" w:color="auto" w:fill="E1DFDD"/>
    </w:rPr>
  </w:style>
  <w:style w:type="paragraph" w:styleId="13">
    <w:name w:val="List Paragraph"/>
    <w:basedOn w:val="1"/>
    <w:qFormat/>
    <w:uiPriority w:val="0"/>
    <w:pPr>
      <w:spacing w:after="200" w:line="276" w:lineRule="auto"/>
      <w:ind w:left="720"/>
      <w:contextualSpacing/>
    </w:pPr>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0</Words>
  <Characters>0</Characters>
  <Lines>0</Lines>
  <Paragraphs>0</Paragraphs>
  <TotalTime>69</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2024-09-05T11:58:00Z</dcterms:created>
  <dc:creator>Rolnictwo</dc:creator>
  <cp:lastModifiedBy>afahner</cp:lastModifiedBy>
  <cp:lastPrinted>2024-10-15T08:42:25Z</cp:lastPrinted>
  <dcterms:modified xsi:type="dcterms:W3CDTF">2024-10-15T08:43:07Z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1045-12.2.0.18283</vt:lpwstr>
  </property>
  <property fmtid="{D5CDD505-2E9C-101B-9397-08002B2CF9AE}" pid="3" name="ICV">
    <vt:lpwstr>2B5A0A37C96846D4BE050BB6E83AEF10_12</vt:lpwstr>
  </property>
</Properties>
</file>